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26E" w:rsidRDefault="00190737">
      <w:pPr>
        <w:spacing w:line="58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23526E" w:rsidRDefault="0023526E">
      <w:pPr>
        <w:spacing w:line="580" w:lineRule="exact"/>
        <w:jc w:val="left"/>
        <w:rPr>
          <w:rFonts w:ascii="仿宋_GB2312" w:eastAsia="仿宋_GB2312" w:hAnsi="仿宋_GB2312" w:cs="仿宋_GB2312"/>
          <w:sz w:val="32"/>
          <w:szCs w:val="32"/>
        </w:rPr>
      </w:pPr>
    </w:p>
    <w:p w:rsidR="0023526E" w:rsidRDefault="00190737">
      <w:pPr>
        <w:spacing w:line="580" w:lineRule="exact"/>
        <w:jc w:val="center"/>
        <w:rPr>
          <w:rFonts w:eastAsia="方正小标宋_GBK"/>
          <w:sz w:val="28"/>
          <w:szCs w:val="36"/>
        </w:rPr>
      </w:pPr>
      <w:r>
        <w:rPr>
          <w:rFonts w:ascii="方正小标宋_GBK" w:eastAsia="方正小标宋_GBK" w:hAnsi="方正小标宋_GBK" w:cs="方正小标宋_GBK" w:hint="eastAsia"/>
          <w:sz w:val="44"/>
          <w:szCs w:val="44"/>
        </w:rPr>
        <w:t>苏州市软件和信息服务业推动数字产业化发展“头雁”企业评估</w:t>
      </w:r>
      <w:r>
        <w:rPr>
          <w:rFonts w:ascii="方正小标宋_GBK" w:eastAsia="方正小标宋_GBK" w:hAnsi="方正小标宋_GBK" w:cs="方正小标宋_GBK" w:hint="eastAsia"/>
          <w:sz w:val="44"/>
          <w:szCs w:val="44"/>
        </w:rPr>
        <w:t>指引（试行）</w:t>
      </w:r>
    </w:p>
    <w:p w:rsidR="0023526E" w:rsidRDefault="0023526E">
      <w:pPr>
        <w:spacing w:line="580" w:lineRule="exact"/>
      </w:pPr>
    </w:p>
    <w:p w:rsidR="0023526E" w:rsidRDefault="0019073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一、总则</w:t>
      </w:r>
    </w:p>
    <w:p w:rsidR="0023526E" w:rsidRDefault="0019073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为促进我市软件和信息服务业推动数字产业化发展“头雁”企业（以下简称“头雁”企业）发展，</w:t>
      </w:r>
      <w:r>
        <w:rPr>
          <w:rFonts w:ascii="仿宋_GB2312" w:eastAsia="仿宋_GB2312" w:hAnsi="仿宋_GB2312" w:cs="仿宋_GB2312" w:hint="eastAsia"/>
          <w:sz w:val="32"/>
          <w:szCs w:val="32"/>
        </w:rPr>
        <w:t>促进各县级市（区）软件和信息服务业创新驱动和转型发展，进一步推进我市数字经济发展，不断提升综合竞争力，结合全市软件行业实际，制定本指引。</w:t>
      </w:r>
    </w:p>
    <w:p w:rsidR="0023526E" w:rsidRDefault="0019073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本指引适用于软件和信息服务业推动数字产业化发展“头雁”企业评定。</w:t>
      </w:r>
    </w:p>
    <w:p w:rsidR="0023526E" w:rsidRDefault="00190737">
      <w:pPr>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本指引着重评价“头雁”企业的综合发展水平和区域引领效应。</w:t>
      </w:r>
    </w:p>
    <w:p w:rsidR="0023526E" w:rsidRDefault="0019073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二、基本要求</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申请主体要求</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）申报评估的主体应为在苏州市大市范围内注册，具有独立的法人资格，运营和财务状况良好，</w:t>
      </w:r>
      <w:bookmarkStart w:id="0" w:name="_GoBack"/>
      <w:r w:rsidRPr="009610D6">
        <w:rPr>
          <w:rFonts w:ascii="仿宋_GB2312" w:eastAsia="仿宋_GB2312" w:hAnsi="仿宋_GB2312" w:cs="仿宋_GB2312" w:hint="eastAsia"/>
          <w:b/>
          <w:bCs/>
          <w:color w:val="FF0000"/>
          <w:sz w:val="32"/>
          <w:szCs w:val="32"/>
        </w:rPr>
        <w:t>稳定运营满</w:t>
      </w:r>
      <w:r w:rsidRPr="009610D6">
        <w:rPr>
          <w:rFonts w:ascii="仿宋_GB2312" w:eastAsia="仿宋_GB2312" w:hAnsi="仿宋_GB2312" w:cs="仿宋_GB2312" w:hint="eastAsia"/>
          <w:b/>
          <w:bCs/>
          <w:color w:val="FF0000"/>
          <w:sz w:val="32"/>
          <w:szCs w:val="32"/>
        </w:rPr>
        <w:t>2</w:t>
      </w:r>
      <w:r w:rsidRPr="009610D6">
        <w:rPr>
          <w:rFonts w:ascii="仿宋_GB2312" w:eastAsia="仿宋_GB2312" w:hAnsi="仿宋_GB2312" w:cs="仿宋_GB2312" w:hint="eastAsia"/>
          <w:b/>
          <w:bCs/>
          <w:color w:val="FF0000"/>
          <w:sz w:val="32"/>
          <w:szCs w:val="32"/>
        </w:rPr>
        <w:t>年</w:t>
      </w:r>
      <w:bookmarkEnd w:id="0"/>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）以计算机软件开发生产、系统集成、应用服务和其他相应信息技术服务为其主要经营业务和经营收入来源，并正常运营；</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）具备核心技术，具有一种以上由本企业开发或由</w:t>
      </w:r>
      <w:r>
        <w:rPr>
          <w:rFonts w:ascii="仿宋_GB2312" w:eastAsia="仿宋_GB2312" w:hAnsi="仿宋_GB2312" w:cs="仿宋_GB2312" w:hint="eastAsia"/>
          <w:sz w:val="32"/>
          <w:szCs w:val="32"/>
        </w:rPr>
        <w:lastRenderedPageBreak/>
        <w:t>本企业拥有知识产权的软件产品，或者具有相关资质并能提供相应技术服务；</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）具有从事软件产品开发和相应信息技术服务等业务所需的技术装备和经营场</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）在企业所属县级市（区）具有较好的引领示范作用；</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）企业产权明晰，管理规范，遵纪守法。</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企业规模要求</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）企业应以核心关键技术为基础开展经营活动，增强发展能力，不断做大企业营收规模；</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）企业应增强持续成长能力，保持收入规模平均增长率不低于全市行业平均水平；</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注：行业平均水平数值由以市工信局每年公布数值为依据。</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企业经营能力要求</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）企业</w:t>
      </w:r>
      <w:r w:rsidRPr="009610D6">
        <w:rPr>
          <w:rFonts w:ascii="仿宋_GB2312" w:eastAsia="仿宋_GB2312" w:hAnsi="仿宋_GB2312" w:cs="仿宋_GB2312" w:hint="eastAsia"/>
          <w:b/>
          <w:bCs/>
          <w:color w:val="FF0000"/>
          <w:sz w:val="32"/>
          <w:szCs w:val="32"/>
        </w:rPr>
        <w:t>近</w:t>
      </w:r>
      <w:r w:rsidRPr="009610D6">
        <w:rPr>
          <w:rFonts w:ascii="仿宋_GB2312" w:eastAsia="仿宋_GB2312" w:hAnsi="仿宋_GB2312" w:cs="仿宋_GB2312" w:hint="eastAsia"/>
          <w:b/>
          <w:bCs/>
          <w:color w:val="FF0000"/>
          <w:sz w:val="32"/>
          <w:szCs w:val="32"/>
        </w:rPr>
        <w:t>2</w:t>
      </w:r>
      <w:r w:rsidRPr="009610D6">
        <w:rPr>
          <w:rFonts w:ascii="仿宋_GB2312" w:eastAsia="仿宋_GB2312" w:hAnsi="仿宋_GB2312" w:cs="仿宋_GB2312" w:hint="eastAsia"/>
          <w:b/>
          <w:bCs/>
          <w:color w:val="FF0000"/>
          <w:sz w:val="32"/>
          <w:szCs w:val="32"/>
        </w:rPr>
        <w:t>个年度均不亏损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）企业应加大研究开发投入，提高核心业务自主开发销售（营业）收入的比例，加强知识产权创造、运用、保护和管理；</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）企业应提升管理水平，持续改进盈利能力，销售利润率、净资产收益率不应低于行业平均水平；</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）企业应持续改善人力资源经营效率，持续提升人均产出。</w:t>
      </w:r>
      <w:r>
        <w:rPr>
          <w:rFonts w:ascii="仿宋_GB2312" w:eastAsia="仿宋_GB2312" w:hAnsi="仿宋_GB2312" w:cs="仿宋_GB2312" w:hint="eastAsia"/>
          <w:sz w:val="32"/>
          <w:szCs w:val="32"/>
        </w:rPr>
        <w:t xml:space="preserve"> </w:t>
      </w:r>
    </w:p>
    <w:p w:rsidR="0023526E" w:rsidRDefault="0019073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4. </w:t>
      </w:r>
      <w:r>
        <w:rPr>
          <w:rFonts w:ascii="仿宋_GB2312" w:eastAsia="仿宋_GB2312" w:hAnsi="仿宋_GB2312" w:cs="仿宋_GB2312" w:hint="eastAsia"/>
          <w:sz w:val="32"/>
          <w:szCs w:val="32"/>
        </w:rPr>
        <w:t>技术创新能力要求</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企业技术创新竞争力要求如下：</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）企业应持续打造高绩效的研发团队；</w:t>
      </w:r>
      <w:r>
        <w:rPr>
          <w:rFonts w:ascii="仿宋_GB2312" w:eastAsia="仿宋_GB2312" w:hAnsi="仿宋_GB2312" w:cs="仿宋_GB2312" w:hint="eastAsia"/>
          <w:sz w:val="32"/>
          <w:szCs w:val="32"/>
        </w:rPr>
        <w:t xml:space="preserve"> </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）企业应加强产、学、</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合作，建立技术中心等研发专业机构或部门，加快创新驱动步伐；</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）企业应持续加大科研投入，研发投入强度应不低于行业平均水平；</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）企业应完善知识产权管理体制，推动知识产权创造，促进知识产权成果转化，加强知识产权保护，提高科技创新能力和产出水平。</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 </w:t>
      </w:r>
      <w:r>
        <w:rPr>
          <w:rFonts w:ascii="仿宋_GB2312" w:eastAsia="仿宋_GB2312" w:hAnsi="仿宋_GB2312" w:cs="仿宋_GB2312" w:hint="eastAsia"/>
          <w:sz w:val="32"/>
          <w:szCs w:val="32"/>
        </w:rPr>
        <w:t>企业资质要求</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“头雁”企业须为高新技术企业，并满足以下条件之一：</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）国家重点软件企业或省规划布局重点软件企业；</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）省级专精特新软件企业；</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）苏州市独角兽培育企业；</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）苏州市重点软件企业；</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）获得各级人才计划资助的</w:t>
      </w:r>
      <w:r>
        <w:rPr>
          <w:rFonts w:ascii="仿宋_GB2312" w:eastAsia="仿宋_GB2312" w:hAnsi="仿宋_GB2312" w:cs="仿宋_GB2312" w:hint="eastAsia"/>
          <w:sz w:val="32"/>
          <w:szCs w:val="32"/>
        </w:rPr>
        <w:t>领军人才企业。</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6. </w:t>
      </w:r>
      <w:r>
        <w:rPr>
          <w:rFonts w:ascii="仿宋_GB2312" w:eastAsia="仿宋_GB2312" w:hAnsi="仿宋_GB2312" w:cs="仿宋_GB2312" w:hint="eastAsia"/>
          <w:sz w:val="32"/>
          <w:szCs w:val="32"/>
        </w:rPr>
        <w:t>企业信用要求</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企业信用要求如下：</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）企业应积极开展诚信体系建设；</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）企业应对所出具的企业经营财务情况、软件产品等方面的真实性负责；</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）企业应认真处理客户的投诉，持续改进客户的满意度；</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）通过“信用苏州”系统，出具法人信用报告，无</w:t>
      </w:r>
      <w:r>
        <w:rPr>
          <w:rFonts w:ascii="仿宋_GB2312" w:eastAsia="仿宋_GB2312" w:hAnsi="仿宋_GB2312" w:cs="仿宋_GB2312" w:hint="eastAsia"/>
          <w:sz w:val="32"/>
          <w:szCs w:val="32"/>
        </w:rPr>
        <w:lastRenderedPageBreak/>
        <w:t>失信信息。</w:t>
      </w:r>
    </w:p>
    <w:p w:rsidR="0023526E" w:rsidRDefault="0019073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三、评估类别及要求</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“头雁”企业评估分为人工智能、大数据（云计算）、通用软件（行业应用软件）、区块链等四个类别，具体要求如下：</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人工智能、大数据（云计算）、通用软件（行业应用软件）：上年度企业核心业务收入不低于</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亿元，近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年核心业务收入或净利润的平均增长率达到</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工业软件：工业软件（工业互联网平台软件）企业上年度核心业务收入不低于</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万元，近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年核心业务收入或净利润的平均增长率达到</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核心业务是</w:t>
      </w:r>
      <w:r>
        <w:rPr>
          <w:rFonts w:ascii="仿宋_GB2312" w:eastAsia="仿宋_GB2312" w:hAnsi="仿宋_GB2312" w:cs="仿宋_GB2312" w:hint="eastAsia"/>
          <w:sz w:val="32"/>
          <w:szCs w:val="32"/>
        </w:rPr>
        <w:t>研发设计类工业软件的可适当放宽。</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 </w:t>
      </w:r>
      <w:r>
        <w:rPr>
          <w:rFonts w:ascii="仿宋_GB2312" w:eastAsia="仿宋_GB2312" w:hAnsi="仿宋_GB2312" w:cs="仿宋_GB2312" w:hint="eastAsia"/>
          <w:sz w:val="32"/>
          <w:szCs w:val="32"/>
        </w:rPr>
        <w:t>区块链：上年度企业核心业务收入不低于</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万元，近</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年核心业务收入或净利润的平均增长率达到</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注：核心业务收入指企业所申报方向类别的业务收入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p>
    <w:p w:rsidR="0023526E" w:rsidRDefault="0019073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四、评估指标</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“头雁”企业评估指标分五部分（共</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分），分别是产业规模（</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分）、综合成长性（</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分）、技术创新性（</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分）、行业影响力（</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分）和社会效益（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分），具体如下表所示：</w:t>
      </w:r>
    </w:p>
    <w:p w:rsidR="0023526E" w:rsidRDefault="0023526E">
      <w:pPr>
        <w:spacing w:line="580" w:lineRule="exact"/>
        <w:ind w:firstLine="641"/>
        <w:jc w:val="center"/>
        <w:rPr>
          <w:rFonts w:ascii="仿宋_GB2312" w:eastAsia="仿宋_GB2312" w:hAnsi="仿宋_GB2312" w:cs="仿宋_GB2312"/>
          <w:sz w:val="32"/>
          <w:szCs w:val="32"/>
        </w:rPr>
      </w:pPr>
    </w:p>
    <w:tbl>
      <w:tblPr>
        <w:tblStyle w:val="TableNormal"/>
        <w:tblW w:w="87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9"/>
        <w:gridCol w:w="1980"/>
        <w:gridCol w:w="900"/>
        <w:gridCol w:w="4283"/>
      </w:tblGrid>
      <w:tr w:rsidR="0023526E">
        <w:trPr>
          <w:trHeight w:val="785"/>
          <w:jc w:val="center"/>
        </w:trPr>
        <w:tc>
          <w:tcPr>
            <w:tcW w:w="1599"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一级指标</w:t>
            </w:r>
            <w:proofErr w:type="spellEnd"/>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二级指标</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分值</w:t>
            </w:r>
            <w:proofErr w:type="spellEnd"/>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取值方法</w:t>
            </w:r>
            <w:proofErr w:type="spellEnd"/>
          </w:p>
        </w:tc>
      </w:tr>
      <w:tr w:rsidR="0023526E">
        <w:trPr>
          <w:trHeight w:val="1580"/>
          <w:jc w:val="center"/>
        </w:trPr>
        <w:tc>
          <w:tcPr>
            <w:tcW w:w="1599" w:type="dxa"/>
            <w:vMerge w:val="restart"/>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lastRenderedPageBreak/>
              <w:t>产业规模</w:t>
            </w:r>
            <w:r>
              <w:rPr>
                <w:rFonts w:ascii="仿宋_GB2312" w:eastAsia="仿宋_GB2312" w:hAnsi="仿宋_GB2312" w:cs="仿宋_GB2312" w:hint="eastAsia"/>
                <w:sz w:val="32"/>
                <w:szCs w:val="32"/>
                <w:lang w:eastAsia="en-US"/>
              </w:rPr>
              <w:t>30</w:t>
            </w:r>
            <w:r>
              <w:rPr>
                <w:rFonts w:ascii="仿宋_GB2312" w:eastAsia="仿宋_GB2312" w:hAnsi="仿宋_GB2312" w:cs="仿宋_GB2312" w:hint="eastAsia"/>
                <w:sz w:val="32"/>
                <w:szCs w:val="32"/>
                <w:lang w:eastAsia="en-US"/>
              </w:rPr>
              <w:t>分</w:t>
            </w: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核心业务收入</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20</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核心业务收入达到全市行业中等水平得</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分；每增加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p>
        </w:tc>
      </w:tr>
      <w:tr w:rsidR="0023526E">
        <w:trPr>
          <w:trHeight w:val="900"/>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净利润</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5</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净利润达到全市行业中等水平得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分；每增加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p>
        </w:tc>
      </w:tr>
      <w:tr w:rsidR="0023526E">
        <w:trPr>
          <w:trHeight w:val="1384"/>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人均核心业务收入</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5</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人均核心业务收入达到全市行业中等水平得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分；每增加</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p>
        </w:tc>
      </w:tr>
      <w:tr w:rsidR="0023526E">
        <w:trPr>
          <w:trHeight w:val="1283"/>
          <w:jc w:val="center"/>
        </w:trPr>
        <w:tc>
          <w:tcPr>
            <w:tcW w:w="1599" w:type="dxa"/>
            <w:vMerge w:val="restart"/>
            <w:tcBorders>
              <w:top w:val="nil"/>
            </w:tcBorders>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综合成长性</w:t>
            </w:r>
            <w:r>
              <w:rPr>
                <w:rFonts w:ascii="仿宋_GB2312" w:eastAsia="仿宋_GB2312" w:hAnsi="仿宋_GB2312" w:cs="仿宋_GB2312" w:hint="eastAsia"/>
                <w:sz w:val="32"/>
                <w:szCs w:val="32"/>
                <w:lang w:eastAsia="en-US"/>
              </w:rPr>
              <w:t>15</w:t>
            </w:r>
            <w:r>
              <w:rPr>
                <w:rFonts w:ascii="仿宋_GB2312" w:eastAsia="仿宋_GB2312" w:hAnsi="仿宋_GB2312" w:cs="仿宋_GB2312" w:hint="eastAsia"/>
                <w:sz w:val="32"/>
                <w:szCs w:val="32"/>
                <w:lang w:eastAsia="en-US"/>
              </w:rPr>
              <w:t>分</w:t>
            </w: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核心业务收入增速</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10</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近两年核心业务收入平均增速</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以上得</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8-1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得</w:t>
            </w: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以上得</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w:t>
            </w:r>
          </w:p>
        </w:tc>
      </w:tr>
      <w:tr w:rsidR="0023526E">
        <w:trPr>
          <w:trHeight w:val="1033"/>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净利润增长率</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5</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净利润增速</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10-20%</w:t>
            </w:r>
            <w:r>
              <w:rPr>
                <w:rFonts w:ascii="仿宋_GB2312" w:eastAsia="仿宋_GB2312" w:hAnsi="仿宋_GB2312" w:cs="仿宋_GB2312" w:hint="eastAsia"/>
                <w:sz w:val="32"/>
                <w:szCs w:val="32"/>
              </w:rPr>
              <w:t>得</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以上得</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w:t>
            </w:r>
          </w:p>
        </w:tc>
      </w:tr>
      <w:tr w:rsidR="0023526E">
        <w:trPr>
          <w:trHeight w:val="956"/>
          <w:jc w:val="center"/>
        </w:trPr>
        <w:tc>
          <w:tcPr>
            <w:tcW w:w="1599" w:type="dxa"/>
            <w:vMerge w:val="restart"/>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技术创新性</w:t>
            </w:r>
            <w:r>
              <w:rPr>
                <w:rFonts w:ascii="仿宋_GB2312" w:eastAsia="仿宋_GB2312" w:hAnsi="仿宋_GB2312" w:cs="仿宋_GB2312" w:hint="eastAsia"/>
                <w:sz w:val="32"/>
                <w:szCs w:val="32"/>
                <w:lang w:eastAsia="en-US"/>
              </w:rPr>
              <w:t>20</w:t>
            </w:r>
            <w:r>
              <w:rPr>
                <w:rFonts w:ascii="仿宋_GB2312" w:eastAsia="仿宋_GB2312" w:hAnsi="仿宋_GB2312" w:cs="仿宋_GB2312" w:hint="eastAsia"/>
                <w:sz w:val="32"/>
                <w:szCs w:val="32"/>
                <w:lang w:eastAsia="en-US"/>
              </w:rPr>
              <w:t>分</w:t>
            </w: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研发投入增速</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3</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研发费用增速</w:t>
            </w:r>
            <w:r>
              <w:rPr>
                <w:rFonts w:ascii="仿宋_GB2312" w:eastAsia="仿宋_GB2312" w:hAnsi="仿宋_GB2312" w:cs="仿宋_GB2312" w:hint="eastAsia"/>
                <w:sz w:val="32"/>
                <w:szCs w:val="32"/>
              </w:rPr>
              <w:t>5-10%</w:t>
            </w:r>
            <w:r>
              <w:rPr>
                <w:rFonts w:ascii="仿宋_GB2312" w:eastAsia="仿宋_GB2312" w:hAnsi="仿宋_GB2312" w:cs="仿宋_GB2312" w:hint="eastAsia"/>
                <w:sz w:val="32"/>
                <w:szCs w:val="32"/>
              </w:rPr>
              <w:t>以内得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分，增加</w:t>
            </w:r>
            <w:r>
              <w:rPr>
                <w:rFonts w:ascii="仿宋_GB2312" w:eastAsia="仿宋_GB2312" w:hAnsi="仿宋_GB2312" w:cs="仿宋_GB2312" w:hint="eastAsia"/>
                <w:sz w:val="32"/>
                <w:szCs w:val="32"/>
              </w:rPr>
              <w:t>10-15%</w:t>
            </w:r>
            <w:r>
              <w:rPr>
                <w:rFonts w:ascii="仿宋_GB2312" w:eastAsia="仿宋_GB2312" w:hAnsi="仿宋_GB2312" w:cs="仿宋_GB2312" w:hint="eastAsia"/>
                <w:sz w:val="32"/>
                <w:szCs w:val="32"/>
              </w:rPr>
              <w:t>得</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分。</w:t>
            </w:r>
          </w:p>
        </w:tc>
      </w:tr>
      <w:tr w:rsidR="0023526E">
        <w:trPr>
          <w:trHeight w:val="1300"/>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研发费用占主营业务收</w:t>
            </w:r>
          </w:p>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入比重</w:t>
            </w:r>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4</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研发费用占主营业务收入比重</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以上得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分，增加</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以上得</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分。</w:t>
            </w:r>
          </w:p>
        </w:tc>
      </w:tr>
      <w:tr w:rsidR="0023526E">
        <w:trPr>
          <w:trHeight w:val="883"/>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研发人员占企业总人数比重</w:t>
            </w:r>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3</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及以上分别得</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分。</w:t>
            </w:r>
          </w:p>
        </w:tc>
      </w:tr>
      <w:tr w:rsidR="0023526E">
        <w:trPr>
          <w:trHeight w:val="2496"/>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近</w:t>
            </w:r>
            <w:r>
              <w:rPr>
                <w:rFonts w:ascii="仿宋_GB2312" w:eastAsia="仿宋_GB2312" w:hAnsi="仿宋_GB2312" w:cs="仿宋_GB2312" w:hint="eastAsia"/>
                <w:sz w:val="32"/>
                <w:szCs w:val="32"/>
                <w:lang w:eastAsia="en-US"/>
              </w:rPr>
              <w:t xml:space="preserve"> 2 </w:t>
            </w:r>
            <w:proofErr w:type="spellStart"/>
            <w:r>
              <w:rPr>
                <w:rFonts w:ascii="仿宋_GB2312" w:eastAsia="仿宋_GB2312" w:hAnsi="仿宋_GB2312" w:cs="仿宋_GB2312" w:hint="eastAsia"/>
                <w:sz w:val="32"/>
                <w:szCs w:val="32"/>
                <w:lang w:eastAsia="en-US"/>
              </w:rPr>
              <w:t>年知识产权数</w:t>
            </w:r>
            <w:proofErr w:type="spellEnd"/>
            <w:r>
              <w:rPr>
                <w:rFonts w:ascii="仿宋_GB2312" w:eastAsia="仿宋_GB2312" w:hAnsi="仿宋_GB2312" w:cs="仿宋_GB2312" w:hint="eastAsia"/>
                <w:sz w:val="32"/>
                <w:szCs w:val="32"/>
                <w:lang w:eastAsia="en-US"/>
              </w:rPr>
              <w:t>(</w:t>
            </w:r>
            <w:proofErr w:type="spellStart"/>
            <w:r>
              <w:rPr>
                <w:rFonts w:ascii="仿宋_GB2312" w:eastAsia="仿宋_GB2312" w:hAnsi="仿宋_GB2312" w:cs="仿宋_GB2312" w:hint="eastAsia"/>
                <w:sz w:val="32"/>
                <w:szCs w:val="32"/>
                <w:lang w:eastAsia="en-US"/>
              </w:rPr>
              <w:t>原创</w:t>
            </w:r>
            <w:proofErr w:type="spellEnd"/>
            <w:r>
              <w:rPr>
                <w:rFonts w:ascii="仿宋_GB2312" w:eastAsia="仿宋_GB2312" w:hAnsi="仿宋_GB2312" w:cs="仿宋_GB2312" w:hint="eastAsia"/>
                <w:sz w:val="32"/>
                <w:szCs w:val="32"/>
                <w:lang w:eastAsia="en-US"/>
              </w:rPr>
              <w:t>)</w:t>
            </w:r>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4</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新获得软件著作权</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个得</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分；新授权发明专利</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分；作为主要贡献者参与相关标准制定，国家级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分，省市级</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个得</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分。</w:t>
            </w:r>
          </w:p>
        </w:tc>
      </w:tr>
      <w:tr w:rsidR="0023526E">
        <w:trPr>
          <w:trHeight w:val="626"/>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 xml:space="preserve"> 2 </w:t>
            </w:r>
            <w:r>
              <w:rPr>
                <w:rFonts w:ascii="仿宋_GB2312" w:eastAsia="仿宋_GB2312" w:hAnsi="仿宋_GB2312" w:cs="仿宋_GB2312" w:hint="eastAsia"/>
                <w:sz w:val="32"/>
                <w:szCs w:val="32"/>
              </w:rPr>
              <w:t>年省级及以上产业化、信息化项目数、获奖数</w:t>
            </w:r>
            <w:r>
              <w:rPr>
                <w:rFonts w:ascii="仿宋_GB2312" w:eastAsia="仿宋_GB2312" w:hAnsi="仿宋_GB2312" w:cs="仿宋_GB2312" w:hint="eastAsia"/>
                <w:sz w:val="32"/>
                <w:szCs w:val="32"/>
              </w:rPr>
              <w:lastRenderedPageBreak/>
              <w:t>量</w:t>
            </w:r>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lastRenderedPageBreak/>
              <w:t>3</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国家级每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分，省级每</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个得</w:t>
            </w:r>
            <w:r>
              <w:rPr>
                <w:rFonts w:ascii="仿宋_GB2312" w:eastAsia="仿宋_GB2312" w:hAnsi="仿宋_GB2312" w:cs="仿宋_GB2312" w:hint="eastAsia"/>
                <w:sz w:val="32"/>
                <w:szCs w:val="32"/>
              </w:rPr>
              <w:t>0.5</w:t>
            </w:r>
            <w:r>
              <w:rPr>
                <w:rFonts w:ascii="仿宋_GB2312" w:eastAsia="仿宋_GB2312" w:hAnsi="仿宋_GB2312" w:cs="仿宋_GB2312" w:hint="eastAsia"/>
                <w:sz w:val="32"/>
                <w:szCs w:val="32"/>
              </w:rPr>
              <w:t>分。</w:t>
            </w:r>
          </w:p>
        </w:tc>
      </w:tr>
      <w:tr w:rsidR="0023526E">
        <w:trPr>
          <w:trHeight w:val="623"/>
          <w:jc w:val="center"/>
        </w:trPr>
        <w:tc>
          <w:tcPr>
            <w:tcW w:w="1599" w:type="dxa"/>
            <w:vMerge/>
            <w:tcBorders>
              <w:top w:val="nil"/>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企业技术（工程）中心</w:t>
            </w:r>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3</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市级得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分，省级得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分，国家级得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分（独立计分，不累加）。</w:t>
            </w:r>
            <w:r>
              <w:rPr>
                <w:rFonts w:ascii="仿宋_GB2312" w:eastAsia="仿宋_GB2312" w:hAnsi="仿宋_GB2312" w:cs="仿宋_GB2312" w:hint="eastAsia"/>
                <w:sz w:val="32"/>
                <w:szCs w:val="32"/>
              </w:rPr>
              <w:t>院士专家工作站、博士后工作站视情得</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分。</w:t>
            </w:r>
          </w:p>
        </w:tc>
      </w:tr>
      <w:tr w:rsidR="0023526E">
        <w:trPr>
          <w:trHeight w:val="935"/>
          <w:jc w:val="center"/>
        </w:trPr>
        <w:tc>
          <w:tcPr>
            <w:tcW w:w="1599" w:type="dxa"/>
            <w:tcBorders>
              <w:top w:val="single" w:sz="4" w:space="0" w:color="auto"/>
              <w:left w:val="single" w:sz="4" w:space="0" w:color="auto"/>
              <w:bottom w:val="single" w:sz="4" w:space="0" w:color="auto"/>
              <w:right w:val="single" w:sz="4" w:space="0" w:color="auto"/>
            </w:tcBorders>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行业影响力</w:t>
            </w:r>
            <w:r>
              <w:rPr>
                <w:rFonts w:ascii="仿宋_GB2312" w:eastAsia="仿宋_GB2312" w:hAnsi="仿宋_GB2312" w:cs="仿宋_GB2312" w:hint="eastAsia"/>
                <w:sz w:val="32"/>
                <w:szCs w:val="32"/>
                <w:lang w:eastAsia="en-US"/>
              </w:rPr>
              <w:t>25</w:t>
            </w:r>
            <w:r>
              <w:rPr>
                <w:rFonts w:ascii="仿宋_GB2312" w:eastAsia="仿宋_GB2312" w:hAnsi="仿宋_GB2312" w:cs="仿宋_GB2312" w:hint="eastAsia"/>
                <w:sz w:val="32"/>
                <w:szCs w:val="32"/>
                <w:lang w:eastAsia="en-US"/>
              </w:rPr>
              <w:t>分</w:t>
            </w:r>
          </w:p>
        </w:tc>
        <w:tc>
          <w:tcPr>
            <w:tcW w:w="1980" w:type="dxa"/>
            <w:tcBorders>
              <w:left w:val="single" w:sz="4" w:space="0" w:color="auto"/>
            </w:tcBorders>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细分领域行业影响力</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25</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企业掌握相关核心技术，在细分领域居全国前列，得</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分；全省前列得</w:t>
            </w:r>
            <w:r>
              <w:rPr>
                <w:rFonts w:ascii="仿宋_GB2312" w:eastAsia="仿宋_GB2312" w:hAnsi="仿宋_GB2312" w:cs="仿宋_GB2312" w:hint="eastAsia"/>
                <w:sz w:val="32"/>
                <w:szCs w:val="32"/>
              </w:rPr>
              <w:t>10-20</w:t>
            </w:r>
            <w:r>
              <w:rPr>
                <w:rFonts w:ascii="仿宋_GB2312" w:eastAsia="仿宋_GB2312" w:hAnsi="仿宋_GB2312" w:cs="仿宋_GB2312" w:hint="eastAsia"/>
                <w:sz w:val="32"/>
                <w:szCs w:val="32"/>
              </w:rPr>
              <w:t>分。入选国际、国内权威机构评选榜单，视情况加</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分。</w:t>
            </w:r>
          </w:p>
        </w:tc>
      </w:tr>
      <w:tr w:rsidR="0023526E">
        <w:trPr>
          <w:trHeight w:val="490"/>
          <w:jc w:val="center"/>
        </w:trPr>
        <w:tc>
          <w:tcPr>
            <w:tcW w:w="1599" w:type="dxa"/>
            <w:vMerge w:val="restart"/>
            <w:tcBorders>
              <w:top w:val="single" w:sz="4" w:space="0" w:color="auto"/>
              <w:left w:val="single" w:sz="4" w:space="0" w:color="auto"/>
              <w:right w:val="single" w:sz="4" w:space="0" w:color="auto"/>
            </w:tcBorders>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bookmarkStart w:id="1" w:name="_Toc13738"/>
            <w:bookmarkStart w:id="2" w:name="_Toc25219226"/>
            <w:bookmarkStart w:id="3" w:name="_Toc23928606"/>
            <w:bookmarkStart w:id="4" w:name="_Toc87450548"/>
            <w:r>
              <w:rPr>
                <w:rFonts w:ascii="仿宋_GB2312" w:eastAsia="仿宋_GB2312" w:hAnsi="仿宋_GB2312" w:cs="仿宋_GB2312" w:hint="eastAsia"/>
                <w:sz w:val="32"/>
                <w:szCs w:val="32"/>
                <w:lang w:eastAsia="en-US"/>
              </w:rPr>
              <w:t>社会效益</w:t>
            </w:r>
            <w:r>
              <w:rPr>
                <w:rFonts w:ascii="仿宋_GB2312" w:eastAsia="仿宋_GB2312" w:hAnsi="仿宋_GB2312" w:cs="仿宋_GB2312" w:hint="eastAsia"/>
                <w:sz w:val="32"/>
                <w:szCs w:val="32"/>
                <w:lang w:eastAsia="en-US"/>
              </w:rPr>
              <w:t>10</w:t>
            </w:r>
            <w:r>
              <w:rPr>
                <w:rFonts w:ascii="仿宋_GB2312" w:eastAsia="仿宋_GB2312" w:hAnsi="仿宋_GB2312" w:cs="仿宋_GB2312" w:hint="eastAsia"/>
                <w:sz w:val="32"/>
                <w:szCs w:val="32"/>
                <w:lang w:eastAsia="en-US"/>
              </w:rPr>
              <w:t>分</w:t>
            </w:r>
          </w:p>
        </w:tc>
        <w:tc>
          <w:tcPr>
            <w:tcW w:w="1980" w:type="dxa"/>
            <w:tcBorders>
              <w:left w:val="single" w:sz="4" w:space="0" w:color="auto"/>
            </w:tcBorders>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税收</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6</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上年度实缴税收</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万得</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分，每增加</w:t>
            </w:r>
            <w:r>
              <w:rPr>
                <w:rFonts w:ascii="仿宋_GB2312" w:eastAsia="仿宋_GB2312" w:hAnsi="仿宋_GB2312" w:cs="仿宋_GB2312" w:hint="eastAsia"/>
                <w:sz w:val="32"/>
                <w:szCs w:val="32"/>
              </w:rPr>
              <w:t xml:space="preserve">  100</w:t>
            </w:r>
            <w:r>
              <w:rPr>
                <w:rFonts w:ascii="仿宋_GB2312" w:eastAsia="仿宋_GB2312" w:hAnsi="仿宋_GB2312" w:cs="仿宋_GB2312" w:hint="eastAsia"/>
                <w:sz w:val="32"/>
                <w:szCs w:val="32"/>
              </w:rPr>
              <w:t>万加</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p>
        </w:tc>
      </w:tr>
      <w:tr w:rsidR="0023526E">
        <w:trPr>
          <w:trHeight w:val="500"/>
          <w:jc w:val="center"/>
        </w:trPr>
        <w:tc>
          <w:tcPr>
            <w:tcW w:w="1599" w:type="dxa"/>
            <w:vMerge/>
            <w:tcBorders>
              <w:left w:val="single" w:sz="4" w:space="0" w:color="auto"/>
              <w:bottom w:val="single" w:sz="4" w:space="0" w:color="auto"/>
              <w:right w:val="single" w:sz="4" w:space="0" w:color="auto"/>
            </w:tcBorders>
            <w:vAlign w:val="center"/>
          </w:tcPr>
          <w:p w:rsidR="0023526E" w:rsidRDefault="0023526E">
            <w:pPr>
              <w:autoSpaceDE/>
              <w:autoSpaceDN/>
              <w:spacing w:line="400" w:lineRule="exact"/>
              <w:jc w:val="center"/>
              <w:rPr>
                <w:rFonts w:ascii="仿宋_GB2312" w:eastAsia="仿宋_GB2312" w:hAnsi="仿宋_GB2312" w:cs="仿宋_GB2312"/>
                <w:sz w:val="32"/>
                <w:szCs w:val="32"/>
              </w:rPr>
            </w:pPr>
          </w:p>
        </w:tc>
        <w:tc>
          <w:tcPr>
            <w:tcW w:w="1980" w:type="dxa"/>
            <w:tcBorders>
              <w:left w:val="single" w:sz="4" w:space="0" w:color="auto"/>
            </w:tcBorders>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吸纳就业人数</w:t>
            </w:r>
            <w:proofErr w:type="spellEnd"/>
          </w:p>
        </w:tc>
        <w:tc>
          <w:tcPr>
            <w:tcW w:w="900" w:type="dxa"/>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r>
              <w:rPr>
                <w:rFonts w:ascii="仿宋_GB2312" w:eastAsia="仿宋_GB2312" w:hAnsi="仿宋_GB2312" w:cs="仿宋_GB2312" w:hint="eastAsia"/>
                <w:sz w:val="32"/>
                <w:szCs w:val="32"/>
                <w:lang w:eastAsia="en-US"/>
              </w:rPr>
              <w:t>4</w:t>
            </w:r>
          </w:p>
        </w:tc>
        <w:tc>
          <w:tcPr>
            <w:tcW w:w="4283" w:type="dxa"/>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企业员工总数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人以上得</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分，每增加</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人得</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分。</w:t>
            </w:r>
          </w:p>
        </w:tc>
      </w:tr>
      <w:tr w:rsidR="0023526E">
        <w:trPr>
          <w:trHeight w:val="620"/>
          <w:jc w:val="center"/>
        </w:trPr>
        <w:tc>
          <w:tcPr>
            <w:tcW w:w="1599" w:type="dxa"/>
            <w:tcBorders>
              <w:top w:val="single" w:sz="4" w:space="0" w:color="auto"/>
              <w:left w:val="single" w:sz="4" w:space="0" w:color="auto"/>
              <w:bottom w:val="single" w:sz="4" w:space="0" w:color="auto"/>
              <w:right w:val="single" w:sz="4" w:space="0" w:color="auto"/>
            </w:tcBorders>
            <w:vAlign w:val="center"/>
          </w:tcPr>
          <w:p w:rsidR="0023526E" w:rsidRDefault="00190737">
            <w:pPr>
              <w:autoSpaceDE/>
              <w:autoSpaceDN/>
              <w:spacing w:line="400" w:lineRule="exact"/>
              <w:jc w:val="center"/>
              <w:rPr>
                <w:rFonts w:ascii="仿宋_GB2312" w:eastAsia="仿宋_GB2312" w:hAnsi="仿宋_GB2312" w:cs="仿宋_GB2312"/>
                <w:sz w:val="32"/>
                <w:szCs w:val="32"/>
                <w:lang w:eastAsia="en-US"/>
              </w:rPr>
            </w:pPr>
            <w:proofErr w:type="spellStart"/>
            <w:r>
              <w:rPr>
                <w:rFonts w:ascii="仿宋_GB2312" w:eastAsia="仿宋_GB2312" w:hAnsi="仿宋_GB2312" w:cs="仿宋_GB2312" w:hint="eastAsia"/>
                <w:sz w:val="32"/>
                <w:szCs w:val="32"/>
                <w:lang w:eastAsia="en-US"/>
              </w:rPr>
              <w:t>备注</w:t>
            </w:r>
            <w:proofErr w:type="spellEnd"/>
          </w:p>
        </w:tc>
        <w:tc>
          <w:tcPr>
            <w:tcW w:w="7163" w:type="dxa"/>
            <w:gridSpan w:val="3"/>
            <w:tcBorders>
              <w:left w:val="single" w:sz="4" w:space="0" w:color="auto"/>
            </w:tcBorders>
            <w:vAlign w:val="center"/>
          </w:tcPr>
          <w:p w:rsidR="0023526E" w:rsidRDefault="00190737">
            <w:pPr>
              <w:autoSpaceDE/>
              <w:autoSpaceDN/>
              <w:spacing w:line="4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全市行业中等水平指标以市工信局每年公布数值为依据</w:t>
            </w:r>
          </w:p>
        </w:tc>
      </w:tr>
    </w:tbl>
    <w:p w:rsidR="0023526E" w:rsidRDefault="00190737">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五、评估要求</w:t>
      </w:r>
      <w:bookmarkEnd w:id="1"/>
      <w:bookmarkEnd w:id="2"/>
      <w:bookmarkEnd w:id="3"/>
      <w:bookmarkEnd w:id="4"/>
    </w:p>
    <w:p w:rsidR="0023526E" w:rsidRDefault="0019073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评估流程</w:t>
      </w:r>
    </w:p>
    <w:p w:rsidR="0023526E" w:rsidRDefault="0019073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头雁企业评估由企业自愿申报，流程如图所示。</w:t>
      </w:r>
    </w:p>
    <w:p w:rsidR="0023526E" w:rsidRDefault="00190737">
      <w:pPr>
        <w:spacing w:line="580" w:lineRule="exact"/>
        <w:ind w:firstLine="641"/>
        <w:jc w:val="center"/>
        <w:rPr>
          <w:rFonts w:ascii="仿宋_GB2312" w:eastAsia="仿宋_GB2312" w:hAnsi="仿宋_GB2312" w:cs="仿宋_GB2312"/>
          <w:sz w:val="32"/>
          <w:szCs w:val="32"/>
        </w:rPr>
      </w:pPr>
      <w:r>
        <w:rPr>
          <w:rFonts w:ascii="仿宋_GB2312" w:eastAsia="仿宋_GB2312" w:hAnsi="仿宋_GB2312" w:cs="仿宋_GB2312" w:hint="eastAsia"/>
          <w:noProof/>
          <w:sz w:val="32"/>
          <w:szCs w:val="32"/>
        </w:rPr>
        <w:lastRenderedPageBreak/>
        <w:drawing>
          <wp:anchor distT="0" distB="0" distL="114300" distR="114300" simplePos="0" relativeHeight="251659264" behindDoc="1" locked="0" layoutInCell="1" allowOverlap="1">
            <wp:simplePos x="0" y="0"/>
            <wp:positionH relativeFrom="column">
              <wp:posOffset>92710</wp:posOffset>
            </wp:positionH>
            <wp:positionV relativeFrom="paragraph">
              <wp:posOffset>151765</wp:posOffset>
            </wp:positionV>
            <wp:extent cx="5182870" cy="4224655"/>
            <wp:effectExtent l="0" t="0" r="17780" b="4445"/>
            <wp:wrapThrough wrapText="bothSides">
              <wp:wrapPolygon edited="0">
                <wp:start x="0" y="0"/>
                <wp:lineTo x="0" y="21525"/>
                <wp:lineTo x="21515" y="21525"/>
                <wp:lineTo x="21515" y="0"/>
                <wp:lineTo x="0" y="0"/>
              </wp:wrapPolygon>
            </wp:wrapThrough>
            <wp:docPr id="1" name="图片 1" descr="微信截图_2022030910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20309101842"/>
                    <pic:cNvPicPr>
                      <a:picLocks noChangeAspect="1"/>
                    </pic:cNvPicPr>
                  </pic:nvPicPr>
                  <pic:blipFill>
                    <a:blip r:embed="rId6"/>
                    <a:stretch>
                      <a:fillRect/>
                    </a:stretch>
                  </pic:blipFill>
                  <pic:spPr>
                    <a:xfrm>
                      <a:off x="0" y="0"/>
                      <a:ext cx="5182870" cy="4224655"/>
                    </a:xfrm>
                    <a:prstGeom prst="rect">
                      <a:avLst/>
                    </a:prstGeom>
                  </pic:spPr>
                </pic:pic>
              </a:graphicData>
            </a:graphic>
          </wp:anchor>
        </w:drawing>
      </w:r>
      <w:r>
        <w:rPr>
          <w:rFonts w:ascii="仿宋_GB2312" w:eastAsia="仿宋_GB2312" w:hAnsi="仿宋_GB2312" w:cs="仿宋_GB2312" w:hint="eastAsia"/>
          <w:sz w:val="32"/>
          <w:szCs w:val="32"/>
        </w:rPr>
        <w:t>图</w:t>
      </w:r>
      <w:r>
        <w:rPr>
          <w:rFonts w:ascii="仿宋_GB2312" w:eastAsia="仿宋_GB2312" w:hAnsi="仿宋_GB2312" w:cs="仿宋_GB2312" w:hint="eastAsia"/>
          <w:sz w:val="32"/>
          <w:szCs w:val="32"/>
        </w:rPr>
        <w:t xml:space="preserve">1 </w:t>
      </w:r>
      <w:r>
        <w:rPr>
          <w:rFonts w:ascii="仿宋_GB2312" w:eastAsia="仿宋_GB2312" w:hAnsi="仿宋_GB2312" w:cs="仿宋_GB2312" w:hint="eastAsia"/>
          <w:sz w:val="32"/>
          <w:szCs w:val="32"/>
        </w:rPr>
        <w:t>“头雁”企业评估流程图</w:t>
      </w:r>
    </w:p>
    <w:p w:rsidR="0023526E" w:rsidRDefault="00190737">
      <w:pPr>
        <w:spacing w:line="580" w:lineRule="exact"/>
        <w:rPr>
          <w:rFonts w:ascii="仿宋_GB2312" w:eastAsia="仿宋_GB2312" w:hAnsi="仿宋_GB2312" w:cs="仿宋_GB2312"/>
          <w:sz w:val="32"/>
          <w:szCs w:val="32"/>
        </w:rPr>
      </w:pPr>
      <w:bookmarkStart w:id="5" w:name="7.2_评估资料要求"/>
      <w:bookmarkStart w:id="6" w:name="_bookmark17"/>
      <w:bookmarkStart w:id="7" w:name="7.4_评估结果"/>
      <w:bookmarkStart w:id="8" w:name="7.3_评估实施要求"/>
      <w:bookmarkStart w:id="9" w:name="_Toc87450549"/>
      <w:bookmarkEnd w:id="5"/>
      <w:bookmarkEnd w:id="6"/>
      <w:bookmarkEnd w:id="7"/>
      <w:bookmarkEnd w:id="8"/>
      <w:r>
        <w:rPr>
          <w:rFonts w:ascii="仿宋_GB2312" w:eastAsia="仿宋_GB2312" w:hAnsi="仿宋_GB2312" w:cs="仿宋_GB2312" w:hint="eastAsia"/>
          <w:sz w:val="32"/>
          <w:szCs w:val="32"/>
        </w:rPr>
        <w:t xml:space="preserve">2. </w:t>
      </w:r>
      <w:r>
        <w:rPr>
          <w:rFonts w:ascii="仿宋_GB2312" w:eastAsia="仿宋_GB2312" w:hAnsi="仿宋_GB2312" w:cs="仿宋_GB2312" w:hint="eastAsia"/>
          <w:sz w:val="32"/>
          <w:szCs w:val="32"/>
        </w:rPr>
        <w:t>评估资料要求</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企业申请“头雁”企业评估时，应提交的评估材料，如下表所示。</w:t>
      </w:r>
    </w:p>
    <w:p w:rsidR="0023526E" w:rsidRDefault="0023526E">
      <w:pPr>
        <w:spacing w:line="580" w:lineRule="exact"/>
        <w:ind w:firstLine="641"/>
        <w:rPr>
          <w:rFonts w:ascii="仿宋_GB2312" w:eastAsia="仿宋_GB2312" w:hAnsi="仿宋_GB2312" w:cs="仿宋_GB2312"/>
          <w:sz w:val="32"/>
          <w:szCs w:val="32"/>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7"/>
        <w:gridCol w:w="3558"/>
        <w:gridCol w:w="933"/>
        <w:gridCol w:w="3187"/>
      </w:tblGrid>
      <w:tr w:rsidR="0023526E">
        <w:trPr>
          <w:trHeight w:val="730"/>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序号</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提交材料名称</w:t>
            </w:r>
          </w:p>
        </w:tc>
        <w:tc>
          <w:tcPr>
            <w:tcW w:w="933"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份数</w:t>
            </w:r>
          </w:p>
        </w:tc>
        <w:tc>
          <w:tcPr>
            <w:tcW w:w="318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要求</w:t>
            </w:r>
          </w:p>
        </w:tc>
      </w:tr>
      <w:tr w:rsidR="0023526E">
        <w:trPr>
          <w:trHeight w:val="673"/>
          <w:jc w:val="center"/>
        </w:trPr>
        <w:tc>
          <w:tcPr>
            <w:tcW w:w="84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苏州市头雁</w:t>
            </w:r>
            <w:r>
              <w:rPr>
                <w:rFonts w:ascii="仿宋_GB2312" w:eastAsia="仿宋_GB2312" w:hAnsi="仿宋_GB2312" w:cs="仿宋_GB2312" w:hint="eastAsia"/>
                <w:sz w:val="32"/>
                <w:szCs w:val="32"/>
                <w:lang w:val="zh-CN"/>
              </w:rPr>
              <w:t>企业评估申报书</w:t>
            </w:r>
          </w:p>
        </w:tc>
        <w:tc>
          <w:tcPr>
            <w:tcW w:w="933"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lang w:val="zh-CN"/>
              </w:rPr>
              <w:t>电子报件原件，需按表中要求盖章、签字。</w:t>
            </w:r>
          </w:p>
        </w:tc>
      </w:tr>
      <w:tr w:rsidR="0023526E">
        <w:trPr>
          <w:trHeight w:val="407"/>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2</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企业法人营业执照副本复印件</w:t>
            </w:r>
          </w:p>
        </w:tc>
        <w:tc>
          <w:tcPr>
            <w:tcW w:w="933"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r w:rsidR="0023526E">
        <w:trPr>
          <w:trHeight w:val="817"/>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3</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有效的软件企业评估证书</w:t>
            </w:r>
            <w:r>
              <w:rPr>
                <w:rFonts w:ascii="仿宋_GB2312" w:eastAsia="仿宋_GB2312" w:hAnsi="仿宋_GB2312" w:cs="仿宋_GB2312" w:hint="eastAsia"/>
                <w:sz w:val="32"/>
                <w:szCs w:val="32"/>
                <w:lang w:val="zh-CN"/>
              </w:rPr>
              <w:lastRenderedPageBreak/>
              <w:t>复印件或者证明满足软件企业评估规范标准条件的证明材料</w:t>
            </w:r>
          </w:p>
        </w:tc>
        <w:tc>
          <w:tcPr>
            <w:tcW w:w="933"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1</w:t>
            </w:r>
          </w:p>
        </w:tc>
        <w:tc>
          <w:tcPr>
            <w:tcW w:w="318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纸质复印件（加盖企业公章）</w:t>
            </w:r>
          </w:p>
        </w:tc>
      </w:tr>
      <w:tr w:rsidR="0023526E">
        <w:trPr>
          <w:trHeight w:val="815"/>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lastRenderedPageBreak/>
              <w:t>4</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近</w:t>
            </w: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年获得的软件产品证书、软件著作权或专利等自主知识产权证明等有效证明材料</w:t>
            </w:r>
          </w:p>
        </w:tc>
        <w:tc>
          <w:tcPr>
            <w:tcW w:w="933"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r w:rsidR="0023526E">
        <w:trPr>
          <w:trHeight w:val="1362"/>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5</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经具有国家法定资质的中介机构</w:t>
            </w:r>
            <w:proofErr w:type="gramStart"/>
            <w:r>
              <w:rPr>
                <w:rFonts w:ascii="仿宋_GB2312" w:eastAsia="仿宋_GB2312" w:hAnsi="仿宋_GB2312" w:cs="仿宋_GB2312" w:hint="eastAsia"/>
                <w:sz w:val="32"/>
                <w:szCs w:val="32"/>
                <w:lang w:val="zh-CN"/>
              </w:rPr>
              <w:t>鉴证</w:t>
            </w:r>
            <w:proofErr w:type="gramEnd"/>
            <w:r>
              <w:rPr>
                <w:rFonts w:ascii="仿宋_GB2312" w:eastAsia="仿宋_GB2312" w:hAnsi="仿宋_GB2312" w:cs="仿宋_GB2312" w:hint="eastAsia"/>
                <w:sz w:val="32"/>
                <w:szCs w:val="32"/>
                <w:lang w:val="zh-CN"/>
              </w:rPr>
              <w:t>的近</w:t>
            </w: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年财务报表（含资产负债表、损益表、现金流量表）、研究开发费用情况归集表、软件业务收入</w:t>
            </w:r>
            <w:proofErr w:type="gramStart"/>
            <w:r>
              <w:rPr>
                <w:rFonts w:ascii="仿宋_GB2312" w:eastAsia="仿宋_GB2312" w:hAnsi="仿宋_GB2312" w:cs="仿宋_GB2312" w:hint="eastAsia"/>
                <w:sz w:val="32"/>
                <w:szCs w:val="32"/>
                <w:lang w:val="zh-CN"/>
              </w:rPr>
              <w:t>归集表</w:t>
            </w:r>
            <w:proofErr w:type="gramEnd"/>
          </w:p>
        </w:tc>
        <w:tc>
          <w:tcPr>
            <w:tcW w:w="933"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r w:rsidR="0023526E">
        <w:trPr>
          <w:trHeight w:val="544"/>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6</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企业生产经营场所产权证明或租赁合同</w:t>
            </w:r>
          </w:p>
        </w:tc>
        <w:tc>
          <w:tcPr>
            <w:tcW w:w="933"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r w:rsidR="0023526E">
        <w:trPr>
          <w:trHeight w:val="717"/>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7</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近</w:t>
            </w:r>
            <w:r>
              <w:rPr>
                <w:rFonts w:ascii="仿宋_GB2312" w:eastAsia="仿宋_GB2312" w:hAnsi="仿宋_GB2312" w:cs="仿宋_GB2312" w:hint="eastAsia"/>
                <w:sz w:val="32"/>
                <w:szCs w:val="32"/>
                <w:lang w:val="zh-CN"/>
              </w:rPr>
              <w:t>2</w:t>
            </w:r>
            <w:r>
              <w:rPr>
                <w:rFonts w:ascii="仿宋_GB2312" w:eastAsia="仿宋_GB2312" w:hAnsi="仿宋_GB2312" w:cs="仿宋_GB2312" w:hint="eastAsia"/>
                <w:sz w:val="32"/>
                <w:szCs w:val="32"/>
                <w:lang w:val="zh-CN"/>
              </w:rPr>
              <w:t>年获得的省级以上财政资金支持情况证明材料</w:t>
            </w:r>
          </w:p>
        </w:tc>
        <w:tc>
          <w:tcPr>
            <w:tcW w:w="933"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r w:rsidR="0023526E">
        <w:trPr>
          <w:trHeight w:val="714"/>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8</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软件产品获奖情况证明材料</w:t>
            </w:r>
          </w:p>
        </w:tc>
        <w:tc>
          <w:tcPr>
            <w:tcW w:w="933"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r w:rsidR="0023526E">
        <w:trPr>
          <w:trHeight w:val="818"/>
          <w:jc w:val="center"/>
        </w:trPr>
        <w:tc>
          <w:tcPr>
            <w:tcW w:w="84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9</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ISO</w:t>
            </w:r>
            <w:r>
              <w:rPr>
                <w:rFonts w:ascii="仿宋_GB2312" w:eastAsia="仿宋_GB2312" w:hAnsi="仿宋_GB2312" w:cs="仿宋_GB2312" w:hint="eastAsia"/>
                <w:sz w:val="32"/>
                <w:szCs w:val="32"/>
                <w:lang w:val="zh-CN"/>
              </w:rPr>
              <w:t>认证、</w:t>
            </w:r>
            <w:r>
              <w:rPr>
                <w:rFonts w:ascii="仿宋_GB2312" w:eastAsia="仿宋_GB2312" w:hAnsi="仿宋_GB2312" w:cs="仿宋_GB2312" w:hint="eastAsia"/>
                <w:sz w:val="32"/>
                <w:szCs w:val="32"/>
                <w:lang w:val="zh-CN"/>
              </w:rPr>
              <w:t>CMMI</w:t>
            </w:r>
            <w:r>
              <w:rPr>
                <w:rFonts w:ascii="仿宋_GB2312" w:eastAsia="仿宋_GB2312" w:hAnsi="仿宋_GB2312" w:cs="仿宋_GB2312" w:hint="eastAsia"/>
                <w:sz w:val="32"/>
                <w:szCs w:val="32"/>
                <w:lang w:val="zh-CN"/>
              </w:rPr>
              <w:t>认证、其它资质、标准评估、企业技术中心等证明材料复印件</w:t>
            </w:r>
          </w:p>
        </w:tc>
        <w:tc>
          <w:tcPr>
            <w:tcW w:w="933"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r w:rsidR="0023526E">
        <w:trPr>
          <w:trHeight w:val="815"/>
          <w:jc w:val="center"/>
        </w:trPr>
        <w:tc>
          <w:tcPr>
            <w:tcW w:w="847"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10</w:t>
            </w:r>
          </w:p>
        </w:tc>
        <w:tc>
          <w:tcPr>
            <w:tcW w:w="3558" w:type="dxa"/>
            <w:vAlign w:val="center"/>
          </w:tcPr>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其他材料：企业兼并重组情况、投融资情况、科技成果转化情况、参与标准</w:t>
            </w:r>
            <w:r>
              <w:rPr>
                <w:rFonts w:ascii="仿宋_GB2312" w:eastAsia="仿宋_GB2312" w:hAnsi="仿宋_GB2312" w:cs="仿宋_GB2312" w:hint="eastAsia"/>
                <w:sz w:val="32"/>
                <w:szCs w:val="32"/>
                <w:lang w:val="zh-CN"/>
              </w:rPr>
              <w:lastRenderedPageBreak/>
              <w:t>规范研制情况等证明材料</w:t>
            </w:r>
          </w:p>
        </w:tc>
        <w:tc>
          <w:tcPr>
            <w:tcW w:w="933"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1</w:t>
            </w:r>
          </w:p>
        </w:tc>
        <w:tc>
          <w:tcPr>
            <w:tcW w:w="3187" w:type="dxa"/>
            <w:vAlign w:val="center"/>
          </w:tcPr>
          <w:p w:rsidR="0023526E" w:rsidRDefault="0023526E">
            <w:pPr>
              <w:spacing w:line="500" w:lineRule="exact"/>
              <w:jc w:val="center"/>
              <w:rPr>
                <w:rFonts w:ascii="仿宋_GB2312" w:eastAsia="仿宋_GB2312" w:hAnsi="仿宋_GB2312" w:cs="仿宋_GB2312"/>
                <w:sz w:val="32"/>
                <w:szCs w:val="32"/>
                <w:lang w:val="zh-CN"/>
              </w:rPr>
            </w:pPr>
          </w:p>
          <w:p w:rsidR="0023526E" w:rsidRDefault="00190737">
            <w:pPr>
              <w:spacing w:line="500" w:lineRule="exact"/>
              <w:jc w:val="center"/>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纸质复印件（加盖企业公章）</w:t>
            </w:r>
          </w:p>
        </w:tc>
      </w:tr>
    </w:tbl>
    <w:p w:rsidR="0023526E" w:rsidRDefault="00190737">
      <w:pPr>
        <w:spacing w:line="580" w:lineRule="exact"/>
        <w:ind w:firstLineChars="200" w:firstLine="640"/>
        <w:rPr>
          <w:rFonts w:ascii="仿宋_GB2312" w:eastAsia="仿宋_GB2312" w:hAnsi="仿宋_GB2312" w:cs="仿宋_GB2312"/>
          <w:sz w:val="32"/>
          <w:szCs w:val="32"/>
        </w:rPr>
      </w:pPr>
      <w:bookmarkStart w:id="10" w:name="_bookmark19"/>
      <w:bookmarkStart w:id="11" w:name="_Toc87450550"/>
      <w:bookmarkEnd w:id="9"/>
      <w:bookmarkEnd w:id="10"/>
      <w:r>
        <w:rPr>
          <w:rFonts w:ascii="仿宋_GB2312" w:eastAsia="仿宋_GB2312" w:hAnsi="仿宋_GB2312" w:cs="仿宋_GB2312" w:hint="eastAsia"/>
          <w:sz w:val="32"/>
          <w:szCs w:val="32"/>
        </w:rPr>
        <w:t xml:space="preserve">4. </w:t>
      </w:r>
      <w:r>
        <w:rPr>
          <w:rFonts w:ascii="仿宋_GB2312" w:eastAsia="仿宋_GB2312" w:hAnsi="仿宋_GB2312" w:cs="仿宋_GB2312" w:hint="eastAsia"/>
          <w:sz w:val="32"/>
          <w:szCs w:val="32"/>
        </w:rPr>
        <w:t>评估结果</w:t>
      </w:r>
      <w:bookmarkEnd w:id="11"/>
    </w:p>
    <w:p w:rsidR="0023526E" w:rsidRDefault="0019073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评估结果综合企业自身发展情况和所在市（区）引领效应，评估得分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评估指标得分</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市（区）推荐得分</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p>
    <w:p w:rsidR="0023526E" w:rsidRDefault="0019073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5. </w:t>
      </w:r>
      <w:r>
        <w:rPr>
          <w:rFonts w:ascii="仿宋_GB2312" w:eastAsia="仿宋_GB2312" w:hAnsi="仿宋_GB2312" w:cs="仿宋_GB2312" w:hint="eastAsia"/>
          <w:sz w:val="32"/>
          <w:szCs w:val="32"/>
        </w:rPr>
        <w:t>监督要求</w:t>
      </w:r>
    </w:p>
    <w:p w:rsidR="0023526E" w:rsidRDefault="00190737">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头雁”企业评估工作应接受各级政府主管部门的监督和指导。申请企业在申请过程中弄虚作假的，一经发现，立即终止申请资格。已经通过评估的，违反国家相关法律规定的，立即取消称号。参与“头雁”企业评估工作的人员如有下列行为之一的，由其所属部门或机构责令限期改正，并依法追究相关责任。</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）违反评估工作程序和工作原则；</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）滥用职权、玩忽职守、徇私舞弊、索贿受贿；</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）违反评估工作保密规定等要求；</w:t>
      </w:r>
    </w:p>
    <w:p w:rsidR="0023526E" w:rsidRDefault="00190737">
      <w:pPr>
        <w:spacing w:line="580" w:lineRule="exact"/>
        <w:ind w:firstLine="64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）其他违反相关法律法规行为。</w:t>
      </w:r>
    </w:p>
    <w:p w:rsidR="0023526E" w:rsidRDefault="0023526E">
      <w:pPr>
        <w:spacing w:line="580" w:lineRule="exact"/>
        <w:ind w:firstLine="641"/>
        <w:rPr>
          <w:rFonts w:ascii="仿宋_GB2312" w:eastAsia="仿宋_GB2312" w:hAnsi="仿宋_GB2312" w:cs="仿宋_GB2312"/>
          <w:sz w:val="32"/>
          <w:szCs w:val="32"/>
        </w:rPr>
      </w:pPr>
    </w:p>
    <w:sectPr w:rsidR="002352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737" w:rsidRDefault="00190737" w:rsidP="009610D6">
      <w:r>
        <w:separator/>
      </w:r>
    </w:p>
  </w:endnote>
  <w:endnote w:type="continuationSeparator" w:id="0">
    <w:p w:rsidR="00190737" w:rsidRDefault="00190737" w:rsidP="0096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737" w:rsidRDefault="00190737" w:rsidP="009610D6">
      <w:r>
        <w:separator/>
      </w:r>
    </w:p>
  </w:footnote>
  <w:footnote w:type="continuationSeparator" w:id="0">
    <w:p w:rsidR="00190737" w:rsidRDefault="00190737" w:rsidP="009610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RlOTM1MGEyODBjM2I0ZmQ5MTAyNzVkY2M1NTAxNTkifQ=="/>
  </w:docVars>
  <w:rsids>
    <w:rsidRoot w:val="4036205E"/>
    <w:rsid w:val="00190737"/>
    <w:rsid w:val="0023526E"/>
    <w:rsid w:val="009610D6"/>
    <w:rsid w:val="25605F3C"/>
    <w:rsid w:val="2BEF3DE1"/>
    <w:rsid w:val="4036205E"/>
    <w:rsid w:val="43E66DC3"/>
    <w:rsid w:val="4E3638AE"/>
    <w:rsid w:val="5D0C5B0E"/>
    <w:rsid w:val="6F9607B9"/>
    <w:rsid w:val="711E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E972A230-D596-4082-AFC5-79382AEAD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autoSpaceDE w:val="0"/>
      <w:autoSpaceDN w:val="0"/>
      <w:jc w:val="left"/>
    </w:pPr>
    <w:rPr>
      <w:rFonts w:ascii="宋体" w:hAnsi="宋体" w:cs="宋体"/>
      <w:kern w:val="0"/>
      <w:szCs w:val="21"/>
      <w:lang w:val="zh-CN" w:bidi="zh-CN"/>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table" w:customStyle="1" w:styleId="TableNormal">
    <w:name w:val="Table Normal"/>
    <w:uiPriority w:val="2"/>
    <w:semiHidden/>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styleId="a5">
    <w:name w:val="header"/>
    <w:basedOn w:val="a"/>
    <w:link w:val="a6"/>
    <w:rsid w:val="009610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9610D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天空之雨</dc:creator>
  <cp:lastModifiedBy>企业发展服务中心-陈佳文</cp:lastModifiedBy>
  <cp:revision>2</cp:revision>
  <cp:lastPrinted>2022-05-26T04:28:00Z</cp:lastPrinted>
  <dcterms:created xsi:type="dcterms:W3CDTF">2022-05-12T03:54:00Z</dcterms:created>
  <dcterms:modified xsi:type="dcterms:W3CDTF">2022-05-30T06:17:00Z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B7B9BE9C2C9B4554A87ED2DC88654D00</vt:lpwstr>
  </property>
</Properties>
</file>