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5"/>
          <w:sz w:val="17"/>
          <w:szCs w:val="17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  <w:t>2020年度相城区独角兽入库企业科研补助拟兑现名单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5"/>
          <w:sz w:val="14"/>
          <w:szCs w:val="14"/>
          <w:bdr w:val="none" w:color="auto" w:sz="0" w:space="0"/>
          <w:shd w:val="clear" w:fill="FFFFFF"/>
        </w:rPr>
        <w:t> </w:t>
      </w:r>
    </w:p>
    <w:tbl>
      <w:tblPr>
        <w:tblW w:w="8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201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8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8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C8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所在板块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苏州爱果乐科技有限公司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相城高新区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苏州智加科技有限公司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高铁新城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超视界激光科技（苏州）有限公司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高铁新城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虚幻竞技（苏州）文化传播有限公司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高铁新城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22D05"/>
    <w:rsid w:val="07F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2021-12-09T02:13:00Z</dcterms:created>
  <dc:creator>pisces</dc:creator>
  <cp:lastModifiedBy>pisces</cp:lastModifiedBy>
  <dcterms:modified xsi:type="dcterms:W3CDTF">2021-12-09T02:14:54Z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8759D8323BA744B7975B025B2BBB32D6</vt:lpwstr>
  </property>
</Properties>
</file>