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rPr>
          <w:rFonts w:hint="eastAsia"/>
          <w:szCs w:val="21"/>
        </w:rPr>
      </w:pPr>
      <w:bookmarkStart w:id="0" w:name="_GoBack"/>
      <w:bookmarkEnd w:id="0"/>
    </w:p>
    <w:p>
      <w:pPr>
        <w:overflowPunct w:val="0"/>
        <w:adjustRightInd w:val="0"/>
        <w:snapToGrid w:val="0"/>
        <w:rPr>
          <w:rFonts w:hint="eastAsia"/>
          <w:szCs w:val="21"/>
        </w:rPr>
      </w:pPr>
    </w:p>
    <w:p>
      <w:pPr>
        <w:overflowPunct w:val="0"/>
        <w:adjustRightInd w:val="0"/>
        <w:snapToGrid w:val="0"/>
        <w:rPr>
          <w:rFonts w:hint="eastAsia"/>
          <w:szCs w:val="21"/>
        </w:rPr>
      </w:pPr>
      <w:r>
        <w:rPr>
          <w:rFonts w:hint="eastAsia"/>
        </w:rPr>
        <w:drawing>
          <wp:anchor distT="0" distB="0" distL="114300" distR="114300" simplePos="0" relativeHeight="251659264" behindDoc="1" locked="0" layoutInCell="1" allowOverlap="1">
            <wp:simplePos x="0" y="0"/>
            <wp:positionH relativeFrom="column">
              <wp:align>center</wp:align>
            </wp:positionH>
            <wp:positionV relativeFrom="paragraph">
              <wp:posOffset>63500</wp:posOffset>
            </wp:positionV>
            <wp:extent cx="5274310" cy="2046605"/>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biLevel thresh="50000"/>
                      <a:grayscl/>
                      <a:extLst>
                        <a:ext uri="{28A0092B-C50C-407E-A947-70E740481C1C}">
                          <a14:useLocalDpi xmlns:a14="http://schemas.microsoft.com/office/drawing/2010/main" val="0"/>
                        </a:ext>
                      </a:extLst>
                    </a:blip>
                    <a:srcRect/>
                    <a:stretch>
                      <a:fillRect/>
                    </a:stretch>
                  </pic:blipFill>
                  <pic:spPr>
                    <a:xfrm>
                      <a:off x="0" y="0"/>
                      <a:ext cx="5274310" cy="2046605"/>
                    </a:xfrm>
                    <a:prstGeom prst="rect">
                      <a:avLst/>
                    </a:prstGeom>
                    <a:noFill/>
                    <a:ln>
                      <a:noFill/>
                    </a:ln>
                  </pic:spPr>
                </pic:pic>
              </a:graphicData>
            </a:graphic>
          </wp:anchor>
        </w:drawing>
      </w:r>
    </w:p>
    <w:p>
      <w:pPr>
        <w:overflowPunct w:val="0"/>
        <w:adjustRightInd w:val="0"/>
        <w:snapToGrid w:val="0"/>
        <w:rPr>
          <w:rFonts w:hint="eastAsia"/>
          <w:szCs w:val="21"/>
        </w:rPr>
      </w:pPr>
    </w:p>
    <w:p>
      <w:pPr>
        <w:overflowPunct w:val="0"/>
        <w:adjustRightInd w:val="0"/>
        <w:snapToGrid w:val="0"/>
        <w:rPr>
          <w:rFonts w:hint="eastAsia"/>
          <w:szCs w:val="21"/>
        </w:rPr>
      </w:pPr>
    </w:p>
    <w:p>
      <w:pPr>
        <w:overflowPunct w:val="0"/>
        <w:adjustRightInd w:val="0"/>
        <w:snapToGrid w:val="0"/>
        <w:rPr>
          <w:rFonts w:hint="eastAsia"/>
          <w:szCs w:val="21"/>
        </w:rPr>
      </w:pPr>
    </w:p>
    <w:p>
      <w:pPr>
        <w:overflowPunct w:val="0"/>
        <w:adjustRightInd w:val="0"/>
        <w:snapToGrid w:val="0"/>
        <w:rPr>
          <w:rFonts w:hint="eastAsia"/>
          <w:szCs w:val="21"/>
        </w:rPr>
      </w:pPr>
    </w:p>
    <w:p>
      <w:pPr>
        <w:overflowPunct w:val="0"/>
        <w:adjustRightInd w:val="0"/>
        <w:snapToGrid w:val="0"/>
        <w:rPr>
          <w:rFonts w:hint="eastAsia"/>
          <w:szCs w:val="21"/>
        </w:rPr>
      </w:pPr>
    </w:p>
    <w:p>
      <w:pPr>
        <w:overflowPunct w:val="0"/>
        <w:adjustRightInd w:val="0"/>
        <w:snapToGrid w:val="0"/>
        <w:spacing w:before="312" w:beforeLines="100"/>
        <w:jc w:val="center"/>
        <w:rPr>
          <w:rFonts w:hint="eastAsia" w:eastAsia="仿宋_GB2312"/>
          <w:szCs w:val="21"/>
        </w:rPr>
      </w:pPr>
      <w:r>
        <w:rPr>
          <w:rFonts w:hint="eastAsia" w:eastAsia="仿宋_GB2312"/>
          <w:szCs w:val="21"/>
        </w:rPr>
        <w:t>苏委办发〔2020〕8号</w:t>
      </w:r>
    </w:p>
    <w:p>
      <w:pPr>
        <w:overflowPunct w:val="0"/>
        <w:adjustRightInd w:val="0"/>
        <w:snapToGrid w:val="0"/>
        <w:rPr>
          <w:rFonts w:hint="eastAsia"/>
          <w:szCs w:val="21"/>
        </w:rPr>
      </w:pPr>
    </w:p>
    <w:p>
      <w:pPr>
        <w:overflowPunct w:val="0"/>
        <w:adjustRightInd w:val="0"/>
        <w:snapToGrid w:val="0"/>
        <w:spacing w:line="580" w:lineRule="exact"/>
        <w:jc w:val="center"/>
        <w:rPr>
          <w:rFonts w:hint="eastAsia" w:eastAsia="宋体"/>
          <w:sz w:val="36"/>
          <w:szCs w:val="36"/>
        </w:rPr>
      </w:pPr>
    </w:p>
    <w:p>
      <w:pPr>
        <w:overflowPunct w:val="0"/>
        <w:adjustRightInd w:val="0"/>
        <w:snapToGrid w:val="0"/>
        <w:spacing w:line="680" w:lineRule="exact"/>
        <w:jc w:val="center"/>
        <w:rPr>
          <w:rFonts w:hint="eastAsia" w:eastAsia="宋体"/>
          <w:sz w:val="36"/>
          <w:szCs w:val="36"/>
        </w:rPr>
      </w:pPr>
    </w:p>
    <w:p>
      <w:pPr>
        <w:overflowPunct w:val="0"/>
        <w:adjustRightInd w:val="0"/>
        <w:snapToGrid w:val="0"/>
        <w:spacing w:line="580" w:lineRule="exact"/>
        <w:jc w:val="center"/>
        <w:rPr>
          <w:rFonts w:hint="eastAsia" w:eastAsia="方正小标宋简体"/>
          <w:sz w:val="44"/>
          <w:szCs w:val="44"/>
        </w:rPr>
      </w:pPr>
      <w:r>
        <w:rPr>
          <w:rFonts w:hint="eastAsia" w:eastAsia="方正小标宋简体"/>
          <w:sz w:val="44"/>
          <w:szCs w:val="44"/>
        </w:rPr>
        <w:t>市委办公室  市政府办公室</w:t>
      </w:r>
    </w:p>
    <w:p>
      <w:pPr>
        <w:overflowPunct w:val="0"/>
        <w:adjustRightInd w:val="0"/>
        <w:snapToGrid w:val="0"/>
        <w:spacing w:line="580" w:lineRule="exact"/>
        <w:jc w:val="center"/>
        <w:rPr>
          <w:rFonts w:hint="eastAsia" w:eastAsia="方正小标宋简体"/>
          <w:sz w:val="44"/>
          <w:szCs w:val="44"/>
        </w:rPr>
      </w:pPr>
      <w:r>
        <w:rPr>
          <w:rFonts w:hint="eastAsia" w:eastAsia="方正小标宋简体"/>
          <w:sz w:val="44"/>
          <w:szCs w:val="44"/>
        </w:rPr>
        <w:t xml:space="preserve"> 印发《关于开放再出发的若干政策意见》</w:t>
      </w:r>
    </w:p>
    <w:p>
      <w:pPr>
        <w:overflowPunct w:val="0"/>
        <w:adjustRightInd w:val="0"/>
        <w:snapToGrid w:val="0"/>
        <w:spacing w:line="580" w:lineRule="exact"/>
        <w:jc w:val="center"/>
        <w:rPr>
          <w:rFonts w:hint="eastAsia" w:eastAsia="方正小标宋简体"/>
          <w:spacing w:val="-8"/>
          <w:sz w:val="44"/>
          <w:szCs w:val="44"/>
        </w:rPr>
      </w:pPr>
      <w:r>
        <w:rPr>
          <w:rFonts w:hint="eastAsia" w:eastAsia="方正小标宋简体"/>
          <w:sz w:val="44"/>
          <w:szCs w:val="44"/>
        </w:rPr>
        <w:t>系列实施细则的通知</w:t>
      </w:r>
    </w:p>
    <w:p>
      <w:pPr>
        <w:overflowPunct w:val="0"/>
        <w:adjustRightInd w:val="0"/>
        <w:snapToGrid w:val="0"/>
        <w:spacing w:line="580" w:lineRule="exact"/>
        <w:rPr>
          <w:rFonts w:hint="eastAsia" w:eastAsia="方正仿宋_GBK"/>
          <w:szCs w:val="32"/>
        </w:rPr>
      </w:pPr>
    </w:p>
    <w:p>
      <w:pPr>
        <w:overflowPunct w:val="0"/>
        <w:adjustRightInd w:val="0"/>
        <w:snapToGrid w:val="0"/>
        <w:spacing w:line="580" w:lineRule="exact"/>
        <w:rPr>
          <w:rFonts w:hint="eastAsia" w:eastAsia="仿宋_GB2312"/>
          <w:szCs w:val="32"/>
        </w:rPr>
      </w:pPr>
      <w:r>
        <w:rPr>
          <w:rFonts w:hint="eastAsia" w:eastAsia="仿宋_GB2312"/>
          <w:szCs w:val="32"/>
        </w:rPr>
        <w:t>各市、区委和人民政府，苏州工业园区、苏州高新区、太仓港口工委和管委会；市委各部委办局，市各委办局，市各人民团体，各大专院校和直属单位：</w:t>
      </w:r>
    </w:p>
    <w:p>
      <w:pPr>
        <w:overflowPunct w:val="0"/>
        <w:adjustRightInd w:val="0"/>
        <w:snapToGrid w:val="0"/>
        <w:spacing w:line="580" w:lineRule="exact"/>
        <w:ind w:firstLine="624" w:firstLineChars="200"/>
        <w:rPr>
          <w:rFonts w:hint="eastAsia" w:eastAsia="仿宋_GB2312"/>
          <w:szCs w:val="32"/>
        </w:rPr>
      </w:pPr>
      <w:r>
        <w:rPr>
          <w:rFonts w:hint="eastAsia" w:eastAsia="仿宋_GB2312"/>
          <w:szCs w:val="32"/>
        </w:rPr>
        <w:t>《关于开放再出发的若干政策意见》系列实施细则已经市委、市政府领导同意，现印发给你们，请结合实际，认真贯彻落实。</w:t>
      </w:r>
    </w:p>
    <w:p>
      <w:pPr>
        <w:overflowPunct w:val="0"/>
        <w:adjustRightInd w:val="0"/>
        <w:snapToGrid w:val="0"/>
        <w:spacing w:line="580" w:lineRule="exact"/>
        <w:ind w:firstLine="608" w:firstLineChars="200"/>
        <w:rPr>
          <w:rFonts w:hint="eastAsia" w:eastAsia="仿宋_GB2312"/>
          <w:spacing w:val="-8"/>
          <w:szCs w:val="32"/>
        </w:rPr>
      </w:pPr>
      <w:r>
        <w:rPr>
          <w:rFonts w:hint="eastAsia" w:eastAsia="仿宋_GB2312"/>
          <w:spacing w:val="-8"/>
          <w:szCs w:val="32"/>
        </w:rPr>
        <w:t>此系列实施细则由市委、市政府负责解释，具体解释工作由市委办公室、市政府办公室商有关部门承担。</w:t>
      </w:r>
    </w:p>
    <w:p>
      <w:pPr>
        <w:overflowPunct w:val="0"/>
        <w:adjustRightInd w:val="0"/>
        <w:snapToGrid w:val="0"/>
        <w:spacing w:line="580" w:lineRule="exact"/>
        <w:ind w:right="624" w:rightChars="200"/>
        <w:jc w:val="right"/>
        <w:rPr>
          <w:rFonts w:hint="eastAsia" w:eastAsia="仿宋_GB2312"/>
          <w:spacing w:val="0"/>
          <w:kern w:val="0"/>
          <w:szCs w:val="32"/>
        </w:rPr>
      </w:pPr>
    </w:p>
    <w:p>
      <w:pPr>
        <w:overflowPunct w:val="0"/>
        <w:adjustRightInd w:val="0"/>
        <w:snapToGrid w:val="0"/>
        <w:spacing w:line="580" w:lineRule="exact"/>
        <w:ind w:right="624" w:rightChars="200"/>
        <w:jc w:val="right"/>
        <w:rPr>
          <w:rFonts w:hint="eastAsia" w:eastAsia="仿宋_GB2312"/>
          <w:spacing w:val="0"/>
          <w:kern w:val="0"/>
          <w:szCs w:val="32"/>
        </w:rPr>
      </w:pPr>
    </w:p>
    <w:p>
      <w:pPr>
        <w:overflowPunct w:val="0"/>
        <w:adjustRightInd w:val="0"/>
        <w:snapToGrid w:val="0"/>
        <w:spacing w:line="580" w:lineRule="exact"/>
        <w:ind w:right="624" w:rightChars="200"/>
        <w:jc w:val="left"/>
        <w:rPr>
          <w:rFonts w:hint="eastAsia" w:eastAsia="仿宋_GB2312"/>
          <w:spacing w:val="0"/>
          <w:kern w:val="0"/>
          <w:szCs w:val="32"/>
        </w:rPr>
      </w:pPr>
      <w:r>
        <w:rPr>
          <w:rFonts w:hint="eastAsia" w:eastAsia="仿宋_GB2312"/>
          <w:spacing w:val="0"/>
          <w:kern w:val="0"/>
          <w:szCs w:val="32"/>
        </w:rPr>
        <w:t>（此页无正文）</w:t>
      </w:r>
    </w:p>
    <w:p>
      <w:pPr>
        <w:overflowPunct w:val="0"/>
        <w:adjustRightInd w:val="0"/>
        <w:snapToGrid w:val="0"/>
        <w:spacing w:line="580" w:lineRule="exact"/>
        <w:ind w:right="624" w:rightChars="200"/>
        <w:jc w:val="right"/>
        <w:rPr>
          <w:rFonts w:hint="eastAsia" w:eastAsia="仿宋_GB2312"/>
          <w:spacing w:val="0"/>
          <w:kern w:val="0"/>
          <w:szCs w:val="32"/>
        </w:rPr>
      </w:pPr>
    </w:p>
    <w:p>
      <w:pPr>
        <w:overflowPunct w:val="0"/>
        <w:adjustRightInd w:val="0"/>
        <w:snapToGrid w:val="0"/>
        <w:spacing w:line="580" w:lineRule="exact"/>
        <w:ind w:right="624" w:rightChars="200"/>
        <w:jc w:val="right"/>
        <w:rPr>
          <w:rFonts w:hint="eastAsia" w:eastAsia="仿宋_GB2312"/>
          <w:spacing w:val="0"/>
          <w:kern w:val="0"/>
          <w:szCs w:val="32"/>
        </w:rPr>
      </w:pPr>
    </w:p>
    <w:p>
      <w:pPr>
        <w:overflowPunct w:val="0"/>
        <w:adjustRightInd w:val="0"/>
        <w:snapToGrid w:val="0"/>
        <w:spacing w:line="580" w:lineRule="exact"/>
        <w:ind w:right="624" w:rightChars="200"/>
        <w:jc w:val="right"/>
        <w:rPr>
          <w:rFonts w:hint="eastAsia" w:eastAsia="仿宋_GB2312"/>
          <w:kern w:val="0"/>
          <w:szCs w:val="32"/>
        </w:rPr>
      </w:pPr>
      <w:r>
        <w:rPr>
          <w:rFonts w:hint="eastAsia" w:eastAsia="仿宋_GB2312"/>
          <w:spacing w:val="19"/>
          <w:kern w:val="0"/>
          <w:szCs w:val="32"/>
          <w:fitText w:val="3194" w:id="-2078638080"/>
        </w:rPr>
        <w:t>中共苏州市委办公</w:t>
      </w:r>
      <w:r>
        <w:rPr>
          <w:rFonts w:hint="eastAsia" w:eastAsia="仿宋_GB2312"/>
          <w:spacing w:val="5"/>
          <w:kern w:val="0"/>
          <w:szCs w:val="32"/>
          <w:fitText w:val="3194" w:id="-2078638080"/>
        </w:rPr>
        <w:t>室</w:t>
      </w:r>
    </w:p>
    <w:p>
      <w:pPr>
        <w:tabs>
          <w:tab w:val="left" w:pos="4678"/>
          <w:tab w:val="left" w:pos="5812"/>
          <w:tab w:val="left" w:pos="5954"/>
          <w:tab w:val="left" w:pos="7088"/>
        </w:tabs>
        <w:overflowPunct w:val="0"/>
        <w:adjustRightInd w:val="0"/>
        <w:snapToGrid w:val="0"/>
        <w:spacing w:line="580" w:lineRule="exact"/>
        <w:ind w:right="624" w:rightChars="200"/>
        <w:jc w:val="right"/>
        <w:rPr>
          <w:rFonts w:hint="eastAsia" w:eastAsia="仿宋_GB2312"/>
          <w:szCs w:val="32"/>
        </w:rPr>
      </w:pPr>
      <w:r>
        <w:rPr>
          <w:rFonts w:hint="eastAsia" w:eastAsia="仿宋_GB2312"/>
          <w:spacing w:val="1"/>
          <w:w w:val="99"/>
          <w:kern w:val="0"/>
          <w:szCs w:val="32"/>
          <w:fitText w:val="3194" w:id="-2078638079"/>
        </w:rPr>
        <w:t>苏州市人民政府办公</w:t>
      </w:r>
      <w:r>
        <w:rPr>
          <w:rFonts w:hint="eastAsia" w:eastAsia="仿宋_GB2312"/>
          <w:spacing w:val="13"/>
          <w:w w:val="99"/>
          <w:kern w:val="0"/>
          <w:szCs w:val="32"/>
          <w:fitText w:val="3194" w:id="-2078638079"/>
        </w:rPr>
        <w:t>室</w:t>
      </w:r>
    </w:p>
    <w:p>
      <w:pPr>
        <w:overflowPunct w:val="0"/>
        <w:adjustRightInd w:val="0"/>
        <w:snapToGrid w:val="0"/>
        <w:spacing w:line="580" w:lineRule="exact"/>
        <w:ind w:firstLine="5694" w:firstLineChars="1825"/>
        <w:rPr>
          <w:rFonts w:hint="eastAsia" w:eastAsia="仿宋_GB2312"/>
          <w:kern w:val="0"/>
          <w:szCs w:val="32"/>
        </w:rPr>
      </w:pPr>
      <w:r>
        <w:rPr>
          <w:rFonts w:hint="eastAsia" w:eastAsia="仿宋_GB2312"/>
          <w:kern w:val="0"/>
          <w:szCs w:val="32"/>
        </w:rPr>
        <w:t>2020年3月6日</w:t>
      </w:r>
    </w:p>
    <w:p>
      <w:pPr>
        <w:overflowPunct w:val="0"/>
        <w:adjustRightInd w:val="0"/>
        <w:snapToGrid w:val="0"/>
        <w:spacing w:line="580" w:lineRule="exact"/>
        <w:ind w:firstLine="5694" w:firstLineChars="1825"/>
        <w:rPr>
          <w:rFonts w:hint="eastAsia" w:eastAsia="仿宋_GB2312"/>
          <w:kern w:val="0"/>
          <w:szCs w:val="32"/>
        </w:rPr>
      </w:pPr>
    </w:p>
    <w:p>
      <w:pPr>
        <w:overflowPunct w:val="0"/>
        <w:adjustRightInd w:val="0"/>
        <w:snapToGrid w:val="0"/>
        <w:spacing w:line="580" w:lineRule="exact"/>
        <w:ind w:firstLine="5694" w:firstLineChars="1825"/>
        <w:rPr>
          <w:rFonts w:hint="eastAsia" w:eastAsia="仿宋_GB2312"/>
          <w:kern w:val="0"/>
          <w:szCs w:val="32"/>
        </w:rPr>
      </w:pPr>
    </w:p>
    <w:p>
      <w:pPr>
        <w:overflowPunct w:val="0"/>
        <w:adjustRightInd w:val="0"/>
        <w:snapToGrid w:val="0"/>
        <w:spacing w:line="580" w:lineRule="exact"/>
        <w:rPr>
          <w:rFonts w:hint="eastAsia" w:eastAsia="仿宋_GB2312"/>
          <w:szCs w:val="32"/>
        </w:rPr>
      </w:pPr>
      <w:r>
        <w:rPr>
          <w:rFonts w:hint="eastAsia" w:eastAsia="仿宋_GB2312"/>
          <w:szCs w:val="32"/>
        </w:rPr>
        <w:t>（此件公开发布）</w:t>
      </w:r>
    </w:p>
    <w:p>
      <w:pPr>
        <w:overflowPunct w:val="0"/>
        <w:adjustRightInd w:val="0"/>
        <w:snapToGrid w:val="0"/>
        <w:spacing w:line="580" w:lineRule="exact"/>
        <w:jc w:val="center"/>
        <w:rPr>
          <w:rFonts w:eastAsia="方正小标宋简体"/>
          <w:snapToGrid w:val="0"/>
          <w:kern w:val="0"/>
          <w:sz w:val="44"/>
          <w:szCs w:val="32"/>
        </w:rPr>
      </w:pPr>
      <w:r>
        <w:rPr>
          <w:rFonts w:hint="eastAsia" w:eastAsia="楷体_GB2312"/>
          <w:sz w:val="21"/>
          <w:szCs w:val="21"/>
        </w:rPr>
        <w:br w:type="page"/>
      </w:r>
    </w:p>
    <w:p>
      <w:pPr>
        <w:overflowPunct w:val="0"/>
        <w:adjustRightInd w:val="0"/>
        <w:snapToGrid w:val="0"/>
        <w:spacing w:line="580" w:lineRule="exact"/>
        <w:jc w:val="center"/>
        <w:rPr>
          <w:rFonts w:hint="eastAsia" w:eastAsia="方正小标宋简体"/>
          <w:snapToGrid w:val="0"/>
          <w:kern w:val="0"/>
          <w:sz w:val="44"/>
          <w:szCs w:val="32"/>
        </w:rPr>
      </w:pPr>
      <w:r>
        <w:rPr>
          <w:rFonts w:hint="eastAsia" w:eastAsia="方正小标宋简体"/>
          <w:snapToGrid w:val="0"/>
          <w:kern w:val="0"/>
          <w:sz w:val="44"/>
          <w:szCs w:val="32"/>
        </w:rPr>
        <w:t>苏州市自主品牌大企业和领军企业先进技术</w:t>
      </w:r>
    </w:p>
    <w:p>
      <w:pPr>
        <w:overflowPunct w:val="0"/>
        <w:adjustRightInd w:val="0"/>
        <w:snapToGrid w:val="0"/>
        <w:spacing w:line="580" w:lineRule="exact"/>
        <w:jc w:val="center"/>
        <w:rPr>
          <w:rFonts w:hint="eastAsia"/>
          <w:snapToGrid w:val="0"/>
          <w:kern w:val="0"/>
          <w:sz w:val="44"/>
          <w:szCs w:val="32"/>
        </w:rPr>
      </w:pPr>
      <w:r>
        <w:rPr>
          <w:rFonts w:hint="eastAsia" w:eastAsia="方正小标宋简体"/>
          <w:snapToGrid w:val="0"/>
          <w:kern w:val="0"/>
          <w:sz w:val="44"/>
          <w:szCs w:val="32"/>
        </w:rPr>
        <w:t>研究院奖补资金实施细则</w:t>
      </w:r>
    </w:p>
    <w:p>
      <w:pPr>
        <w:overflowPunct w:val="0"/>
        <w:adjustRightInd w:val="0"/>
        <w:snapToGrid w:val="0"/>
        <w:spacing w:line="580" w:lineRule="exact"/>
        <w:ind w:firstLine="624" w:firstLineChars="200"/>
        <w:rPr>
          <w:rFonts w:hint="eastAsia" w:eastAsia="黑体"/>
          <w:snapToGrid w:val="0"/>
          <w:kern w:val="0"/>
          <w:szCs w:val="32"/>
        </w:rPr>
      </w:pP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黑体"/>
          <w:snapToGrid w:val="0"/>
          <w:kern w:val="0"/>
          <w:szCs w:val="32"/>
        </w:rPr>
        <w:t xml:space="preserve">第一条  </w:t>
      </w:r>
      <w:r>
        <w:rPr>
          <w:rFonts w:hint="eastAsia" w:eastAsia="仿宋_GB2312"/>
          <w:snapToGrid w:val="0"/>
          <w:kern w:val="0"/>
          <w:szCs w:val="32"/>
        </w:rPr>
        <w:t>根据市委、市政府《关于开放再出发的若干政策意见》（苏委发〔2020〕1号）和市政府《关于印发苏州市鼓励自主品牌大企业与领军企业设立先进技术研究院的实施意见的通知》（苏府〔2017〕56号）要求，进一步推动自主品牌大企业和领军企业在全省创新格局中发挥引领性作用，持续凸显自主创新的原创性成果，全面提升我市创新水平和标志性品牌影响力，特制定本细则。</w:t>
      </w:r>
    </w:p>
    <w:p>
      <w:pPr>
        <w:overflowPunct w:val="0"/>
        <w:adjustRightInd w:val="0"/>
        <w:snapToGrid w:val="0"/>
        <w:spacing w:line="580" w:lineRule="exact"/>
        <w:ind w:firstLine="632" w:firstLineChars="200"/>
        <w:rPr>
          <w:rFonts w:hint="eastAsia" w:eastAsia="仿宋_GB2312"/>
          <w:snapToGrid w:val="0"/>
          <w:spacing w:val="-2"/>
          <w:kern w:val="0"/>
          <w:szCs w:val="32"/>
        </w:rPr>
      </w:pPr>
      <w:r>
        <w:rPr>
          <w:rFonts w:hint="eastAsia" w:eastAsia="黑体"/>
          <w:snapToGrid w:val="0"/>
          <w:spacing w:val="-2"/>
          <w:kern w:val="0"/>
          <w:szCs w:val="32"/>
        </w:rPr>
        <w:t xml:space="preserve">第二条  </w:t>
      </w:r>
      <w:r>
        <w:rPr>
          <w:rFonts w:hint="eastAsia" w:eastAsia="仿宋_GB2312"/>
          <w:snapToGrid w:val="0"/>
          <w:spacing w:val="-2"/>
          <w:kern w:val="0"/>
          <w:szCs w:val="32"/>
        </w:rPr>
        <w:t>苏州市自主品牌大企业与领军企业先进技术研究院（以下简称先进技术研究院）是企业根据市场竞争及核心技术研发和储备需要而独立设立的创新载体，负责企业前沿性技术的规划、研究和储备，不断提升企业和产业链核心技术水平和竞争力。</w:t>
      </w:r>
    </w:p>
    <w:p>
      <w:pPr>
        <w:overflowPunct w:val="0"/>
        <w:adjustRightInd w:val="0"/>
        <w:snapToGrid w:val="0"/>
        <w:spacing w:line="580" w:lineRule="exact"/>
        <w:ind w:firstLine="624" w:firstLineChars="200"/>
        <w:rPr>
          <w:rFonts w:hint="eastAsia" w:eastAsia="黑体"/>
          <w:snapToGrid w:val="0"/>
          <w:kern w:val="0"/>
          <w:szCs w:val="32"/>
        </w:rPr>
      </w:pPr>
      <w:r>
        <w:rPr>
          <w:rFonts w:hint="eastAsia" w:eastAsia="黑体"/>
          <w:snapToGrid w:val="0"/>
          <w:kern w:val="0"/>
          <w:szCs w:val="32"/>
        </w:rPr>
        <w:t xml:space="preserve">第三条  </w:t>
      </w:r>
      <w:r>
        <w:rPr>
          <w:rFonts w:hint="eastAsia" w:eastAsia="仿宋_GB2312"/>
          <w:snapToGrid w:val="0"/>
          <w:kern w:val="0"/>
          <w:szCs w:val="32"/>
        </w:rPr>
        <w:t>本细则所称自主品牌大企业是指申报年上年度营业收入超过50亿元的工业企业；领军企业是指在细分领域市场占有率、技术优势等方面位居全国前列、申报年上年度营业收入超过5亿元的工业企业；研发投入是指除《关于完善研究开发费用税前加计扣除政策的通知》（财税〔2015〕119号）文件规定的研发费用范围外，还包括先进技术研究院直接管理人员人工费用及外聘专家费用、研发业务用房建设费用（不含土地缴款），以及经市工信、科技部门认可的用于收购本市双创企业或购买其研发服务的费用。</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黑体"/>
          <w:snapToGrid w:val="0"/>
          <w:kern w:val="0"/>
          <w:szCs w:val="32"/>
        </w:rPr>
        <w:t xml:space="preserve">第四条  </w:t>
      </w:r>
      <w:r>
        <w:rPr>
          <w:rFonts w:hint="eastAsia" w:eastAsia="仿宋_GB2312"/>
          <w:snapToGrid w:val="0"/>
          <w:kern w:val="0"/>
          <w:szCs w:val="32"/>
        </w:rPr>
        <w:t>先进技术研究院申报单位应满足以下要求：</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（一）在苏设立的企业；</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（二）有自主品牌，商标注册满2年且是商标所有人；</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（三）自主品牌大企业近2年营业收入累计不少于100亿，研发经费近2年累计不少于2亿；领军企业近2年营业收入累计不少于10亿，研发经费近2年占营业收入比重不低于3%；</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（四）已建有省级以上企业研发机构，其中已建有国家级研发机构的优先；</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（五）近3年无严重失信记录。</w:t>
      </w:r>
    </w:p>
    <w:p>
      <w:pPr>
        <w:overflowPunct w:val="0"/>
        <w:adjustRightInd w:val="0"/>
        <w:snapToGrid w:val="0"/>
        <w:spacing w:line="580" w:lineRule="exact"/>
        <w:ind w:firstLine="624" w:firstLineChars="200"/>
        <w:rPr>
          <w:rFonts w:hint="eastAsia" w:eastAsia="黑体"/>
          <w:snapToGrid w:val="0"/>
          <w:kern w:val="0"/>
          <w:szCs w:val="32"/>
        </w:rPr>
      </w:pPr>
      <w:r>
        <w:rPr>
          <w:rFonts w:hint="eastAsia" w:eastAsia="黑体"/>
          <w:snapToGrid w:val="0"/>
          <w:kern w:val="0"/>
          <w:szCs w:val="32"/>
        </w:rPr>
        <w:t xml:space="preserve">第五条  </w:t>
      </w:r>
      <w:r>
        <w:rPr>
          <w:rFonts w:hint="eastAsia" w:eastAsia="仿宋_GB2312"/>
          <w:snapToGrid w:val="0"/>
          <w:kern w:val="0"/>
          <w:szCs w:val="32"/>
        </w:rPr>
        <w:t>先进技术研究院应满足以下建设要求：</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（一）研究方向符合国家产业规划导向，有明晰的规划和目标；</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（二）有健全的研发体系和激励机制；</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（三）有持续的经费来源：</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1．大企业需承诺未来5年内每年研发投入不低于1亿元，累计不低于5亿元；</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2．领军企业需承诺未来5年内每年研发投入占当年营业收入比重不低于3%，其中营业收入30亿以下的制造业企业需承诺未来5年内每年研发投入占当年营业收入比重不低于5%或每年研发投入不低于1亿元；</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四）从事研发技术人员5年内达到200人以上，其中本科以上人数不低于90%，硕士人数不低于50%，博士人数不低于10%，并拥有行业内知名专家或省级以上双创领军人才。研发人员工资支出与企业职工平均工资支出比例系数首年不低于1.5，比值系数5年内累计增长不低于30%；</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仿宋_GB2312"/>
          <w:snapToGrid w:val="0"/>
          <w:kern w:val="0"/>
          <w:szCs w:val="32"/>
        </w:rPr>
        <w:t>（五）有独立的办公、研发场所，可以在申报主体所在地设立或在苏州大市范围内单独设立。</w:t>
      </w:r>
    </w:p>
    <w:p>
      <w:pPr>
        <w:overflowPunct w:val="0"/>
        <w:adjustRightInd w:val="0"/>
        <w:snapToGrid w:val="0"/>
        <w:spacing w:line="580" w:lineRule="exact"/>
        <w:ind w:firstLine="624" w:firstLineChars="200"/>
        <w:rPr>
          <w:rFonts w:hint="eastAsia" w:eastAsia="黑体"/>
          <w:snapToGrid w:val="0"/>
          <w:kern w:val="0"/>
          <w:szCs w:val="32"/>
        </w:rPr>
      </w:pPr>
      <w:r>
        <w:rPr>
          <w:rFonts w:hint="eastAsia" w:eastAsia="黑体"/>
          <w:snapToGrid w:val="0"/>
          <w:kern w:val="0"/>
          <w:szCs w:val="32"/>
        </w:rPr>
        <w:t xml:space="preserve">第六条  </w:t>
      </w:r>
      <w:r>
        <w:rPr>
          <w:rFonts w:hint="eastAsia" w:eastAsia="仿宋_GB2312"/>
          <w:snapToGrid w:val="0"/>
          <w:kern w:val="0"/>
          <w:szCs w:val="32"/>
        </w:rPr>
        <w:t>先进技术研究院认定，采取企业申报、地方推荐、专家初审、现场核查、苏州市政府批准的工作流程。</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黑体"/>
          <w:snapToGrid w:val="0"/>
          <w:kern w:val="0"/>
          <w:szCs w:val="32"/>
        </w:rPr>
        <w:t xml:space="preserve">第七条  </w:t>
      </w:r>
      <w:r>
        <w:rPr>
          <w:rFonts w:hint="eastAsia" w:eastAsia="仿宋_GB2312"/>
          <w:snapToGrid w:val="0"/>
          <w:kern w:val="0"/>
          <w:szCs w:val="32"/>
        </w:rPr>
        <w:t>先进技术研究院建设单位与各市（区）政府主管部门签订协议，并制定5年实施计划。各市（区）政府主管部门按规定组建专家咨询委员会，每年对先进技术研究院规划实施和从发明专利、国际专利、省级以上新产品、省部级以上项目、标准制定等方面对年度计划进行评估和考核，考核通过的给予扶持，未完成年度计划的本年度不予扶持。</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黑体"/>
          <w:snapToGrid w:val="0"/>
          <w:kern w:val="0"/>
          <w:szCs w:val="32"/>
        </w:rPr>
        <w:t xml:space="preserve">第八条  </w:t>
      </w:r>
      <w:r>
        <w:rPr>
          <w:rFonts w:hint="eastAsia" w:eastAsia="仿宋_GB2312"/>
          <w:snapToGrid w:val="0"/>
          <w:kern w:val="0"/>
          <w:szCs w:val="32"/>
        </w:rPr>
        <w:t>每年6月30日前，各市（区）政府主管部门联合财政部门将上一年度先进技术研究院奖补资金申报材料报送市工信局。市工信局组织专家对各市（区）上报的资金奖励材料进行审核后，会同市财政局按照资金分配标准，提出资金安排建议。资金安排建议经公示后报苏州市政府审批。经市政府同意后，市财政局按规定在下一年度将奖励资金下达各市（区）政府。</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黑体"/>
          <w:snapToGrid w:val="0"/>
          <w:kern w:val="0"/>
          <w:szCs w:val="32"/>
        </w:rPr>
        <w:t xml:space="preserve">第九条  </w:t>
      </w:r>
      <w:r>
        <w:rPr>
          <w:rFonts w:hint="eastAsia" w:eastAsia="仿宋_GB2312"/>
          <w:snapToGrid w:val="0"/>
          <w:kern w:val="0"/>
          <w:szCs w:val="32"/>
        </w:rPr>
        <w:t>各市（区）政府根据先进技术研究院建设考核结果，每年对先进技术研究院建设最高按研发投入的20%（最高2000万元）给予财政补助。苏州市级财政对各市（区）政府分别按照奖励金额的10%和30%予以奖补。</w:t>
      </w:r>
    </w:p>
    <w:p>
      <w:pPr>
        <w:overflowPunct w:val="0"/>
        <w:adjustRightInd w:val="0"/>
        <w:snapToGrid w:val="0"/>
        <w:spacing w:line="580" w:lineRule="exact"/>
        <w:ind w:firstLine="624" w:firstLineChars="200"/>
        <w:rPr>
          <w:rFonts w:hint="eastAsia" w:eastAsia="仿宋_GB2312"/>
          <w:snapToGrid w:val="0"/>
          <w:kern w:val="0"/>
          <w:szCs w:val="32"/>
        </w:rPr>
      </w:pPr>
      <w:r>
        <w:rPr>
          <w:rFonts w:hint="eastAsia" w:eastAsia="黑体"/>
          <w:snapToGrid w:val="0"/>
          <w:kern w:val="0"/>
          <w:szCs w:val="32"/>
        </w:rPr>
        <w:t xml:space="preserve">第十条  </w:t>
      </w:r>
      <w:r>
        <w:rPr>
          <w:rFonts w:hint="eastAsia" w:eastAsia="仿宋_GB2312"/>
          <w:snapToGrid w:val="0"/>
          <w:kern w:val="0"/>
          <w:szCs w:val="32"/>
        </w:rPr>
        <w:t>本细则自发布之日起施行，有效期三年，由市工信局组织实施。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鼎CS仿宋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A7"/>
    <w:rsid w:val="007436A7"/>
    <w:rsid w:val="4AE3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文鼎CS仿宋体" w:cs="Times New Roman"/>
      <w:spacing w:val="-4"/>
      <w:kern w:val="2"/>
      <w:sz w:val="32"/>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291</Words>
  <Characters>1659</Characters>
  <Lines>13</Lines>
  <Paragraphs>3</Paragraphs>
  <TotalTime>1</TotalTime>
  <ScaleCrop>false</ScaleCrop>
  <LinksUpToDate>false</LinksUpToDate>
  <CharactersWithSpaces>1947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2020-04-03T01:59:00Z</dcterms:created>
  <dc:creator>企业发展服务中心-宋佳</dc:creator>
  <cp:lastModifiedBy>嗔有时</cp:lastModifiedBy>
  <dcterms:modified xsi:type="dcterms:W3CDTF">2021-08-09T02:18:36Z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822CD490046C4B8E9D657D47C1EF6A58</vt:lpwstr>
  </property>
</Properties>
</file>