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hd w:val="clear" w:color="auto" w:fill="FFFFFF"/>
        <w:adjustRightInd w:val="0"/>
        <w:snapToGrid w:val="0"/>
        <w:spacing w:before="120" w:beforeLines="50" w:after="120" w:afterLines="50" w:line="240" w:lineRule="atLeas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不在单位领取工薪类型的补贴标准</w:t>
      </w:r>
    </w:p>
    <w:p>
      <w:pPr>
        <w:overflowPunct w:val="0"/>
        <w:adjustRightInd w:val="0"/>
        <w:snapToGrid w:val="0"/>
        <w:spacing w:line="360" w:lineRule="auto"/>
        <w:jc w:val="right"/>
        <w:rPr>
          <w:rFonts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/>
          <w:sz w:val="28"/>
          <w:szCs w:val="28"/>
        </w:rPr>
        <w:t>单位：人民币元</w:t>
      </w:r>
      <w:r>
        <w:rPr>
          <w:rFonts w:ascii="楷体_GB2312" w:hAnsi="Times New Roman" w:eastAsia="楷体_GB2312"/>
          <w:sz w:val="28"/>
          <w:szCs w:val="28"/>
        </w:rPr>
        <w:t>/</w:t>
      </w:r>
      <w:r>
        <w:rPr>
          <w:rFonts w:hint="eastAsia" w:ascii="楷体_GB2312" w:hAnsi="Times New Roman" w:eastAsia="楷体_GB2312"/>
          <w:sz w:val="28"/>
          <w:szCs w:val="28"/>
        </w:rPr>
        <w:t>人次</w:t>
      </w:r>
    </w:p>
    <w:tbl>
      <w:tblPr>
        <w:tblStyle w:val="2"/>
        <w:tblW w:w="9099" w:type="dxa"/>
        <w:tblInd w:w="9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596"/>
        <w:gridCol w:w="1218"/>
        <w:gridCol w:w="1559"/>
        <w:gridCol w:w="38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科目名称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补贴标准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补贴标准上限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国际旅费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经济舱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15,000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补贴标准内实报实销每次往返经济舱国际机票费用或其他交通费用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专家零用费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300/</w:t>
            </w:r>
            <w:r>
              <w:rPr>
                <w:rFonts w:hint="eastAsia" w:ascii="宋体" w:hAnsi="宋体"/>
                <w:szCs w:val="21"/>
              </w:rPr>
              <w:t>天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9,000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每次最多补贴天数为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天，超出部分由专家聘请单位支付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专家生活费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600/</w:t>
            </w:r>
            <w:r>
              <w:rPr>
                <w:rFonts w:hint="eastAsia" w:ascii="宋体" w:hAnsi="宋体"/>
                <w:szCs w:val="21"/>
              </w:rPr>
              <w:t>天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18,000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每次最多补贴天数为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天，超出部分由专家聘请单位支付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10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城市间交通费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——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3,000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每次补贴标准内实报实销入（出）境口岸至苏州往返中国境内交通费</w:t>
            </w:r>
          </w:p>
        </w:tc>
      </w:tr>
    </w:tbl>
    <w:p>
      <w:pPr>
        <w:overflowPunct w:val="0"/>
        <w:adjustRightInd w:val="0"/>
        <w:snapToGrid w:val="0"/>
        <w:rPr>
          <w:rFonts w:ascii="楷体_GB2312" w:hAnsi="Times New Roman" w:eastAsia="楷体_GB2312"/>
          <w:sz w:val="28"/>
          <w:szCs w:val="28"/>
        </w:rPr>
      </w:pPr>
    </w:p>
    <w:p>
      <w:pPr>
        <w:overflowPunct w:val="0"/>
        <w:adjustRightInd w:val="0"/>
        <w:snapToGrid w:val="0"/>
        <w:ind w:firstLine="480" w:firstLineChars="200"/>
        <w:rPr>
          <w:rFonts w:ascii="楷体_GB2312" w:hAnsi="Times New Roman" w:eastAsia="楷体_GB2312"/>
          <w:sz w:val="24"/>
        </w:rPr>
      </w:pPr>
      <w:r>
        <w:rPr>
          <w:rFonts w:hint="eastAsia" w:ascii="楷体_GB2312" w:hAnsi="Times New Roman" w:eastAsia="楷体_GB2312"/>
          <w:sz w:val="24"/>
        </w:rPr>
        <w:t>注：以上标准参照国家外国家局发布的《引进人才专家经费管理实施细则》（外专发〔2010〕87号）的相关规定，如国家外国专家局颁布新的经费开支范围和标准，则参照新标准执行。单个项目（人才）累计最高补贴额不超过30万元。</w:t>
      </w:r>
    </w:p>
    <w:p>
      <w:pPr>
        <w:adjustRightInd w:val="0"/>
        <w:snapToGrid w:val="0"/>
        <w:spacing w:line="360" w:lineRule="auto"/>
        <w:rPr>
          <w:rFonts w:ascii="楷体_GB2312" w:hAnsi="Times New Roman" w:eastAsia="楷体_GB2312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75C6"/>
    <w:rsid w:val="07747CE5"/>
    <w:rsid w:val="4D2F6C20"/>
    <w:rsid w:val="536F4CC1"/>
    <w:rsid w:val="5B463AB1"/>
    <w:rsid w:val="62E4532A"/>
    <w:rsid w:val="6770030B"/>
    <w:rsid w:val="7F78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2021-06-21T02:50:12Z</dcterms:created>
  <dc:creator>hp</dc:creator>
  <cp:lastModifiedBy>嗔有时</cp:lastModifiedBy>
  <dcterms:modified xsi:type="dcterms:W3CDTF">2021-06-21T02:51:22Z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7027658F2D7A4494BA6E550C77A4C77E</vt:lpwstr>
  </property>
</Properties>
</file>