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24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2021年度苏州市医疗卫生科技创新指南</w:t>
      </w:r>
    </w:p>
    <w:p>
      <w:pPr>
        <w:pStyle w:val="5"/>
        <w:snapToGrid w:val="0"/>
        <w:spacing w:before="0" w:beforeAutospacing="0" w:after="0" w:line="600" w:lineRule="atLeast"/>
        <w:ind w:firstLine="643" w:firstLineChars="200"/>
        <w:jc w:val="both"/>
        <w:rPr>
          <w:rFonts w:ascii="仿宋_GB2312" w:hAnsi="Times New Roman" w:eastAsia="仿宋_GB2312" w:cs="Times New Roman"/>
          <w:b/>
          <w:bCs/>
        </w:rPr>
      </w:pPr>
    </w:p>
    <w:p>
      <w:pPr>
        <w:pStyle w:val="5"/>
        <w:snapToGrid w:val="0"/>
        <w:spacing w:before="0" w:beforeAutospacing="0" w:after="0" w:line="600" w:lineRule="atLeast"/>
        <w:ind w:firstLine="640" w:firstLineChars="200"/>
        <w:jc w:val="both"/>
        <w:rPr>
          <w:rFonts w:ascii="黑体" w:hAnsi="黑体" w:eastAsia="黑体" w:cs="Times New Roman"/>
          <w:szCs w:val="20"/>
        </w:rPr>
      </w:pPr>
      <w:r>
        <w:rPr>
          <w:rFonts w:hint="eastAsia" w:ascii="黑体" w:hAnsi="黑体" w:eastAsia="黑体"/>
          <w:szCs w:val="20"/>
        </w:rPr>
        <w:t>一、科技创新示范项目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hint="eastAsia" w:ascii="楷体_GB2312" w:hAnsi="Calibri" w:eastAsia="楷体_GB2312" w:cs="Times New Roman"/>
          <w:b/>
          <w:bCs/>
          <w:sz w:val="32"/>
          <w:szCs w:val="20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20"/>
        </w:rPr>
        <w:t>240101  重大传染病防治技术与应急响应机制研究应用示范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kern w:val="0"/>
          <w:sz w:val="32"/>
          <w:szCs w:val="20"/>
        </w:rPr>
        <w:t>贯彻落实《中华人民共和国传染病防治法》要求，主要支持传染病（如新冠疫情、结核、艾滋病等）领域的预防、监控和治疗、免疫接种等公共卫生领域的科技创新，建立完善的公共卫生应急处置机制，完善基层医疗卫生机构及全科医生在防疫工作中的哨卡能力建设，提升我市公共卫生领域的应急处置能力，预防、控制和消除传染病的发生与流行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ascii="楷体_GB2312" w:hAnsi="Calibri" w:eastAsia="楷体_GB2312" w:cs="Times New Roman"/>
          <w:b/>
          <w:bCs/>
          <w:sz w:val="32"/>
          <w:szCs w:val="20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20"/>
        </w:rPr>
        <w:t>240102  吴门医派经典名方传承与发展推广示范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ascii="仿宋_GB2312" w:hAnsi="Calibri" w:eastAsia="仿宋_GB2312" w:cs="Times New Roman"/>
          <w:sz w:val="32"/>
          <w:szCs w:val="20"/>
        </w:rPr>
      </w:pPr>
      <w:r>
        <w:rPr>
          <w:rFonts w:hint="eastAsia" w:ascii="仿宋_GB2312" w:hAnsi="Calibri" w:eastAsia="仿宋_GB2312" w:cs="Times New Roman"/>
          <w:sz w:val="32"/>
          <w:szCs w:val="20"/>
        </w:rPr>
        <w:t>贯彻落实《中华人民共和国中医药法》及《江苏省中医药条例》要求，弘扬吴门中医药独特优势，推进吴门医派学术思想的整理与特色技术、方药的挖掘、保护和传承，系统整理改革开放以来吴门医派发展的最新成果，运用现代科学技术促进中医理论和实践的发展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ascii="楷体_GB2312" w:hAnsi="Calibri" w:eastAsia="楷体_GB2312" w:cs="Times New Roman"/>
          <w:b/>
          <w:bCs/>
          <w:sz w:val="32"/>
          <w:szCs w:val="20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20"/>
        </w:rPr>
        <w:t>240103  慢性呼吸系统疾病综合防治体系研究应用示范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ascii="仿宋_GB2312" w:hAnsi="Calibri" w:eastAsia="仿宋_GB2312" w:cs="Times New Roman"/>
          <w:sz w:val="32"/>
          <w:szCs w:val="20"/>
        </w:rPr>
      </w:pPr>
      <w:r>
        <w:rPr>
          <w:rFonts w:hint="eastAsia" w:ascii="仿宋_GB2312" w:hAnsi="Calibri" w:eastAsia="仿宋_GB2312" w:cs="Times New Roman"/>
          <w:sz w:val="32"/>
          <w:szCs w:val="20"/>
        </w:rPr>
        <w:t>落实健康中国行动慢性呼吸系统疾病防治行动，围绕慢性呼吸系统疾病的防、治、康相结合“立体化防治”要求，建立慢性呼吸系统疾病预警、诊断、治疗与疗效评价体系，探索开展原创关键技术研究，解决疾病预防、控制和管理中的瓶颈问题，切实提高慢性呼吸系统疾病防治水平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ascii="楷体_GB2312" w:hAnsi="Calibri" w:eastAsia="楷体_GB2312" w:cs="Times New Roman"/>
          <w:b/>
          <w:bCs/>
          <w:sz w:val="32"/>
          <w:szCs w:val="20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20"/>
        </w:rPr>
        <w:t>240104  心脑血管疾病早期诊断与干预策略研究应用示范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ascii="仿宋_GB2312" w:hAnsi="Calibri" w:eastAsia="仿宋_GB2312" w:cs="Times New Roman"/>
          <w:sz w:val="32"/>
          <w:szCs w:val="20"/>
        </w:rPr>
      </w:pPr>
      <w:r>
        <w:rPr>
          <w:rFonts w:hint="eastAsia" w:ascii="仿宋_GB2312" w:hAnsi="Calibri" w:eastAsia="仿宋_GB2312" w:cs="Times New Roman"/>
          <w:sz w:val="32"/>
          <w:szCs w:val="20"/>
        </w:rPr>
        <w:t>健康中国重大行动心脑血管疾病防治行动，采用基因组学、代谢组学及表型组学等组学技术，寻找疾病早期生物标志物；应用多模态影像技术，建立心脑血管疾病的生物信息数据库；通过大样本的人群队列，开展心脑血管疾病早期干预策略研究，提高院前急救、静脉溶栓、动脉取栓等应急处置能力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ascii="楷体_GB2312" w:hAnsi="Calibri" w:eastAsia="楷体_GB2312" w:cs="Times New Roman"/>
          <w:b/>
          <w:bCs/>
          <w:sz w:val="32"/>
          <w:szCs w:val="20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20"/>
        </w:rPr>
        <w:t>240105  新生儿危重症早期遗传筛查及精准干预研究应用示范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ascii="仿宋_GB2312" w:hAnsi="Calibri" w:eastAsia="仿宋_GB2312" w:cs="Times New Roman"/>
          <w:sz w:val="32"/>
          <w:szCs w:val="20"/>
        </w:rPr>
      </w:pPr>
      <w:r>
        <w:rPr>
          <w:rFonts w:hint="eastAsia" w:ascii="仿宋_GB2312" w:hAnsi="Calibri" w:eastAsia="仿宋_GB2312" w:cs="Times New Roman"/>
          <w:sz w:val="32"/>
          <w:szCs w:val="20"/>
        </w:rPr>
        <w:t>基于大规模新生儿危重症人群队列基因诊断研究基础，建立主要遗传相关性新生儿危重症筛查的基因测序组合，结合临床表型和生物信息大数据分析技术，形成新生儿危重症的早期遗传筛查方案，并进行多中心的临床验证；开展3-4种新生儿危重症早期精准干预策略研究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ascii="楷体_GB2312" w:hAnsi="Calibri" w:eastAsia="楷体_GB2312" w:cs="Times New Roman"/>
          <w:b/>
          <w:bCs/>
          <w:sz w:val="32"/>
          <w:szCs w:val="20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20"/>
        </w:rPr>
        <w:t>240106  血液系统疾病临床医学科技创新与应用示范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ascii="仿宋_GB2312" w:hAnsi="Calibri" w:eastAsia="仿宋_GB2312" w:cs="Times New Roman"/>
          <w:sz w:val="32"/>
          <w:szCs w:val="20"/>
        </w:rPr>
      </w:pPr>
      <w:r>
        <w:rPr>
          <w:rFonts w:hint="eastAsia" w:ascii="仿宋_GB2312" w:hAnsi="Calibri" w:eastAsia="仿宋_GB2312" w:cs="Times New Roman"/>
          <w:sz w:val="32"/>
          <w:szCs w:val="20"/>
        </w:rPr>
        <w:t>发挥国家临床医学研究中心，科技创新龙头、科技成果转化枢纽、先进技术辐射源、创新人才培训基地的功能定位，加快推动国家临床医学研究中心研究成果的临床转化与推广应用。</w:t>
      </w:r>
    </w:p>
    <w:p>
      <w:pPr>
        <w:pStyle w:val="5"/>
        <w:snapToGrid w:val="0"/>
        <w:spacing w:before="0" w:beforeAutospacing="0" w:after="0" w:line="600" w:lineRule="atLeast"/>
        <w:ind w:firstLine="640" w:firstLineChars="200"/>
        <w:jc w:val="both"/>
        <w:rPr>
          <w:rFonts w:ascii="黑体" w:hAnsi="黑体" w:eastAsia="黑体"/>
          <w:szCs w:val="20"/>
        </w:rPr>
      </w:pPr>
      <w:r>
        <w:rPr>
          <w:rFonts w:hint="eastAsia" w:ascii="黑体" w:hAnsi="黑体" w:eastAsia="黑体"/>
          <w:szCs w:val="20"/>
        </w:rPr>
        <w:t>二、关键技术攻关项目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kern w:val="0"/>
          <w:sz w:val="32"/>
          <w:szCs w:val="20"/>
        </w:rPr>
        <w:t>针对危及人民群众生命健康的常见病、多发病，围绕重点人群、重点区域、重点环节，开展相应人群疾病探索科学、安全的诊治关键技术研究和攻关，攻克一批诊断、治疗、康复的临床应用新技术并转化为诊疗技术指南；有效解决临床实际问题，形成我市相关临床领域的技术特色和人才优势。（按照临床专科申报，临床专科代码详见附件2）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24020</w:t>
      </w:r>
      <w:r>
        <w:rPr>
          <w:rFonts w:hint="eastAsia" w:ascii="仿宋_GB2312" w:eastAsia="仿宋_GB2312"/>
          <w:kern w:val="0"/>
          <w:sz w:val="32"/>
          <w:szCs w:val="20"/>
        </w:rPr>
        <w:t>1  新型临床诊疗关键技术攻关；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24020</w:t>
      </w:r>
      <w:r>
        <w:rPr>
          <w:rFonts w:hint="eastAsia" w:ascii="仿宋_GB2312" w:eastAsia="仿宋_GB2312"/>
          <w:kern w:val="0"/>
          <w:sz w:val="32"/>
          <w:szCs w:val="20"/>
        </w:rPr>
        <w:t>2  传染病预防控制关键技术攻关；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24020</w:t>
      </w:r>
      <w:r>
        <w:rPr>
          <w:rFonts w:hint="eastAsia" w:ascii="仿宋_GB2312" w:eastAsia="仿宋_GB2312"/>
          <w:kern w:val="0"/>
          <w:sz w:val="32"/>
          <w:szCs w:val="20"/>
        </w:rPr>
        <w:t>3  中医药创新发展关键技术攻关；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24020</w:t>
      </w:r>
      <w:r>
        <w:rPr>
          <w:rFonts w:hint="eastAsia" w:ascii="仿宋_GB2312" w:eastAsia="仿宋_GB2312"/>
          <w:kern w:val="0"/>
          <w:sz w:val="32"/>
          <w:szCs w:val="20"/>
        </w:rPr>
        <w:t>4  慢病患者康复关键技术攻关；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24020</w:t>
      </w:r>
      <w:r>
        <w:rPr>
          <w:rFonts w:hint="eastAsia" w:ascii="仿宋_GB2312" w:eastAsia="仿宋_GB2312"/>
          <w:kern w:val="0"/>
          <w:sz w:val="32"/>
          <w:szCs w:val="20"/>
        </w:rPr>
        <w:t>5  妇女健康关键技术攻关；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24020</w:t>
      </w:r>
      <w:r>
        <w:rPr>
          <w:rFonts w:hint="eastAsia" w:ascii="仿宋_GB2312" w:eastAsia="仿宋_GB2312"/>
          <w:kern w:val="0"/>
          <w:sz w:val="32"/>
          <w:szCs w:val="20"/>
        </w:rPr>
        <w:t>6  出生缺陷及儿童健康关键技术攻关；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24020</w:t>
      </w:r>
      <w:r>
        <w:rPr>
          <w:rFonts w:hint="eastAsia" w:ascii="仿宋_GB2312" w:eastAsia="仿宋_GB2312"/>
          <w:kern w:val="0"/>
          <w:sz w:val="32"/>
          <w:szCs w:val="20"/>
        </w:rPr>
        <w:t>7  血液分析及血液安全关键技术攻关；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24020</w:t>
      </w:r>
      <w:r>
        <w:rPr>
          <w:rFonts w:hint="eastAsia" w:ascii="仿宋_GB2312" w:eastAsia="仿宋_GB2312"/>
          <w:kern w:val="0"/>
          <w:sz w:val="32"/>
          <w:szCs w:val="20"/>
        </w:rPr>
        <w:t>8  残疾人康复关键技术攻关；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24020</w:t>
      </w:r>
      <w:r>
        <w:rPr>
          <w:rFonts w:hint="eastAsia" w:ascii="仿宋_GB2312" w:eastAsia="仿宋_GB2312"/>
          <w:kern w:val="0"/>
          <w:sz w:val="32"/>
          <w:szCs w:val="20"/>
        </w:rPr>
        <w:t>9  精神疾病的心理康复技术攻关；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2402</w:t>
      </w:r>
      <w:r>
        <w:rPr>
          <w:rFonts w:hint="eastAsia" w:ascii="仿宋_GB2312" w:eastAsia="仿宋_GB2312"/>
          <w:kern w:val="0"/>
          <w:sz w:val="32"/>
          <w:szCs w:val="20"/>
        </w:rPr>
        <w:t>10  眼、耳鼻喉、口腔等领域关键技术攻关。</w:t>
      </w:r>
    </w:p>
    <w:p>
      <w:pPr>
        <w:pStyle w:val="5"/>
        <w:snapToGrid w:val="0"/>
        <w:spacing w:before="0" w:beforeAutospacing="0" w:after="0" w:line="600" w:lineRule="atLeast"/>
        <w:ind w:firstLine="640" w:firstLineChars="200"/>
        <w:jc w:val="both"/>
        <w:rPr>
          <w:rFonts w:ascii="黑体" w:hAnsi="黑体" w:eastAsia="黑体"/>
          <w:szCs w:val="20"/>
        </w:rPr>
      </w:pPr>
      <w:r>
        <w:rPr>
          <w:rFonts w:hint="eastAsia" w:ascii="黑体" w:hAnsi="黑体" w:eastAsia="黑体"/>
          <w:szCs w:val="20"/>
        </w:rPr>
        <w:t>三、应用基础研究项目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hint="eastAsia" w:ascii="楷体_GB2312" w:hAnsi="Calibri" w:eastAsia="楷体_GB2312" w:cs="Times New Roman"/>
          <w:b/>
          <w:bCs/>
          <w:sz w:val="32"/>
          <w:szCs w:val="20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20"/>
        </w:rPr>
        <w:t>240301  医疗卫生应用基础研究（青年人才临床应用研究）；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ascii="楷体_GB2312" w:hAnsi="Calibri" w:eastAsia="楷体_GB2312" w:cs="Times New Roman"/>
          <w:b/>
          <w:bCs/>
          <w:sz w:val="32"/>
          <w:szCs w:val="20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20"/>
        </w:rPr>
        <w:t>240302  医疗卫生应用基础研究（面上临床应用研究）；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kern w:val="0"/>
          <w:sz w:val="32"/>
          <w:szCs w:val="20"/>
        </w:rPr>
        <w:t>医疗卫生应用基础研究不限定项目研究方向，可根据“医学学科申报代码表（一级代码）（详见附件4）”中的专科类别自行确定研究方向，不在代码表中的医学领域相关课题将不接收申报。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样式 主题词 + 段后: 8.85 磅 行距: 固定值 26 磅"/>
    <w:basedOn w:val="1"/>
    <w:qFormat/>
    <w:uiPriority w:val="0"/>
    <w:pPr>
      <w:autoSpaceDE w:val="0"/>
      <w:autoSpaceDN w:val="0"/>
      <w:adjustRightInd w:val="0"/>
      <w:spacing w:before="100" w:beforeAutospacing="1" w:after="177" w:line="520" w:lineRule="exact"/>
      <w:jc w:val="left"/>
    </w:pPr>
    <w:rPr>
      <w:rFonts w:ascii="方正黑体_GBK" w:eastAsia="方正黑体_GBK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2021-06-21T02:41:09Z</dcterms:created>
  <dc:creator>hp</dc:creator>
  <cp:lastModifiedBy>嗔有时</cp:lastModifiedBy>
  <dcterms:modified xsi:type="dcterms:W3CDTF">2021-06-21T02:41:37Z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7C3BFB01DDB0432AA2901CEC820D83D0</vt:lpwstr>
  </property>
</Properties>
</file>