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widowControl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2021年省科技成果转化专项资金创新型产业集群培育试点项目（C类）拟推荐现场考察名单</w:t>
      </w:r>
    </w:p>
    <w:p>
      <w:pPr>
        <w:widowControl/>
        <w:jc w:val="center"/>
        <w:rPr>
          <w:rFonts w:ascii="宋体" w:hAnsi="宋体" w:eastAsia="宋体" w:cs="宋体"/>
          <w:b/>
          <w:sz w:val="44"/>
          <w:szCs w:val="44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774"/>
        <w:gridCol w:w="279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承担单位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优势性代谢性疾病创新药物的研发及产业化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派格生物医药(苏州)有限公司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新冠病毒mRNA疫苗的研发及产业化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苏州艾博生物科技有限公司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肿瘤免疫治疗CD137（4-1BB）激动性抗体LVGN6051的II、III期临床药品研发及产业化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礼进生物医药科技(苏州)有限公司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基于大数据及人工智能的创新药物研发及产业化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苏州阿尔脉生物科技有限公司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基于Harbour抗体研发平台的肿瘤和免疫性疾病创新药物研发及产业化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和铂医药(苏州)有限公司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RNA药物创新开发与药物分析平台的研发及产业化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苏州吉玛基因股份有限公司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重组人卵泡刺激素</w:t>
            </w:r>
            <w:r>
              <w:rPr>
                <w:rFonts w:cs="宋体" w:asciiTheme="minorEastAsia" w:hAnsiTheme="minorEastAsia"/>
                <w:sz w:val="20"/>
                <w:szCs w:val="20"/>
              </w:rPr>
              <w:t>-CTP</w:t>
            </w:r>
            <w:r>
              <w:rPr>
                <w:rFonts w:hint="eastAsia" w:cs="宋体" w:asciiTheme="minorEastAsia" w:hAnsiTheme="minorEastAsia"/>
                <w:sz w:val="20"/>
                <w:szCs w:val="20"/>
              </w:rPr>
              <w:t>融合蛋白注射液研发及产业化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苏州晟济药业有限公司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214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新一代肿瘤免疫双特异性抗体Ⅰ类新药ES101的研发及产业化</w:t>
            </w:r>
          </w:p>
        </w:tc>
        <w:tc>
          <w:tcPr>
            <w:tcW w:w="163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科望(苏州)生物医药科技有限公司</w:t>
            </w:r>
          </w:p>
        </w:tc>
        <w:tc>
          <w:tcPr>
            <w:tcW w:w="731" w:type="pc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工业园区</w:t>
            </w:r>
          </w:p>
        </w:tc>
      </w:tr>
    </w:tbl>
    <w:p>
      <w:pPr>
        <w:widowControl/>
        <w:spacing w:line="22" w:lineRule="atLeast"/>
        <w:ind w:right="1280"/>
        <w:rPr>
          <w:rFonts w:ascii="仿宋_GB2312" w:hAnsi="宋体" w:eastAsia="仿宋_GB2312" w:cs="Tahoma"/>
          <w:sz w:val="32"/>
          <w:szCs w:val="32"/>
        </w:rPr>
      </w:pPr>
    </w:p>
    <w:p>
      <w:pPr>
        <w:widowControl/>
        <w:spacing w:line="22" w:lineRule="atLeast"/>
        <w:ind w:right="1280"/>
        <w:rPr>
          <w:rFonts w:ascii="仿宋_GB2312" w:hAnsi="宋体" w:eastAsia="仿宋_GB2312" w:cs="Tahoma"/>
          <w:sz w:val="32"/>
          <w:szCs w:val="32"/>
        </w:rPr>
      </w:pPr>
    </w:p>
    <w:p>
      <w:pPr>
        <w:widowControl/>
        <w:spacing w:line="22" w:lineRule="atLeast"/>
        <w:ind w:right="1280"/>
        <w:rPr>
          <w:rFonts w:ascii="仿宋_GB2312" w:hAnsi="宋体" w:eastAsia="仿宋_GB2312" w:cs="Tahom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D1103"/>
    <w:rsid w:val="28CD1103"/>
    <w:rsid w:val="471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2021-05-17T07:47:00Z</dcterms:created>
  <dc:creator>松鼠喵huan</dc:creator>
  <cp:lastModifiedBy>嗔有时</cp:lastModifiedBy>
  <dcterms:modified xsi:type="dcterms:W3CDTF">2021-05-20T06:20:15Z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E5A1DBDB97174E3488E163F3EED5CB33</vt:lpwstr>
  </property>
</Properties>
</file>