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方正黑体_GBK" w:hAnsi="方正黑体_GBK" w:eastAsia="方正黑体_GBK" w:cs="方正黑体_GBK"/>
          <w:color w:val="000000"/>
        </w:rPr>
      </w:pPr>
      <w:bookmarkStart w:id="0" w:name="_GoBack"/>
      <w:bookmarkEnd w:id="0"/>
      <w:r>
        <w:rPr>
          <w:rFonts w:hint="eastAsia" w:ascii="方正黑体_GBK" w:hAnsi="方正黑体_GBK" w:eastAsia="方正黑体_GBK" w:cs="方正黑体_GBK"/>
          <w:color w:val="000000"/>
        </w:rPr>
        <w:t>附件</w:t>
      </w:r>
      <w:r>
        <w:rPr>
          <w:rFonts w:hint="eastAsia" w:ascii="Times New Roman" w:hAnsi="Times New Roman" w:eastAsia="方正黑体_GBK"/>
          <w:color w:val="000000"/>
        </w:rPr>
        <w:t>4</w:t>
      </w:r>
    </w:p>
    <w:p>
      <w:pPr>
        <w:spacing w:line="590" w:lineRule="exact"/>
        <w:jc w:val="center"/>
        <w:rPr>
          <w:rFonts w:eastAsia="方正小标宋_GBK"/>
          <w:color w:val="000000"/>
          <w:sz w:val="44"/>
          <w:szCs w:val="44"/>
        </w:rPr>
      </w:pPr>
    </w:p>
    <w:p>
      <w:pPr>
        <w:spacing w:line="590" w:lineRule="exact"/>
        <w:jc w:val="center"/>
        <w:rPr>
          <w:rFonts w:eastAsia="方正小标宋_GBK"/>
          <w:color w:val="000000"/>
          <w:sz w:val="44"/>
          <w:szCs w:val="44"/>
        </w:rPr>
      </w:pPr>
      <w:r>
        <w:rPr>
          <w:rFonts w:eastAsia="方正小标宋_GBK"/>
          <w:color w:val="000000"/>
          <w:sz w:val="44"/>
          <w:szCs w:val="44"/>
        </w:rPr>
        <w:t>省级创业示范基地</w:t>
      </w:r>
      <w:r>
        <w:rPr>
          <w:rFonts w:hint="eastAsia" w:eastAsia="方正小标宋_GBK"/>
          <w:color w:val="000000"/>
          <w:sz w:val="44"/>
          <w:szCs w:val="44"/>
        </w:rPr>
        <w:t>建设</w:t>
      </w:r>
      <w:r>
        <w:rPr>
          <w:rFonts w:eastAsia="方正小标宋_GBK"/>
          <w:color w:val="000000"/>
          <w:sz w:val="44"/>
          <w:szCs w:val="44"/>
        </w:rPr>
        <w:t>标准指标解释</w:t>
      </w:r>
    </w:p>
    <w:p>
      <w:pPr>
        <w:spacing w:before="240" w:beforeLines="100" w:line="590" w:lineRule="exact"/>
        <w:jc w:val="center"/>
        <w:rPr>
          <w:rFonts w:eastAsia="方正楷体_GBK"/>
          <w:color w:val="000000"/>
        </w:rPr>
      </w:pPr>
      <w:r>
        <w:rPr>
          <w:rFonts w:eastAsia="方正楷体_GBK"/>
          <w:color w:val="000000"/>
        </w:rPr>
        <w:t>（以</w:t>
      </w:r>
      <w:r>
        <w:rPr>
          <w:rFonts w:ascii="Times New Roman" w:hAnsi="Times New Roman" w:eastAsia="方正楷体_GBK"/>
          <w:color w:val="000000"/>
        </w:rPr>
        <w:t>2021</w:t>
      </w:r>
      <w:r>
        <w:rPr>
          <w:rFonts w:eastAsia="方正楷体_GBK"/>
          <w:color w:val="000000"/>
        </w:rPr>
        <w:t>年度为例）</w:t>
      </w:r>
    </w:p>
    <w:p>
      <w:pPr>
        <w:spacing w:line="590" w:lineRule="exact"/>
        <w:jc w:val="center"/>
        <w:rPr>
          <w:rFonts w:eastAsia="方正小标宋_GBK"/>
          <w:color w:val="000000"/>
          <w:sz w:val="44"/>
          <w:szCs w:val="44"/>
        </w:rPr>
      </w:pPr>
    </w:p>
    <w:p>
      <w:pPr>
        <w:numPr>
          <w:ilvl w:val="0"/>
          <w:numId w:val="1"/>
        </w:numPr>
        <w:spacing w:line="590" w:lineRule="exact"/>
        <w:ind w:firstLine="640" w:firstLineChars="200"/>
        <w:jc w:val="left"/>
        <w:rPr>
          <w:rFonts w:ascii="Times New Roman" w:hAnsi="Times New Roman"/>
          <w:color w:val="000000"/>
        </w:rPr>
      </w:pPr>
      <w:r>
        <w:rPr>
          <w:rFonts w:ascii="Times New Roman" w:hAnsi="Times New Roman"/>
          <w:color w:val="000000"/>
        </w:rPr>
        <w:t>各项指标统计截止日期为2020年12月31日。其中创业指导师配备以市级评审为限。</w:t>
      </w:r>
    </w:p>
    <w:p>
      <w:pPr>
        <w:numPr>
          <w:ilvl w:val="0"/>
          <w:numId w:val="1"/>
        </w:numPr>
        <w:spacing w:line="590" w:lineRule="exact"/>
        <w:ind w:firstLine="640" w:firstLineChars="200"/>
        <w:jc w:val="left"/>
        <w:rPr>
          <w:rFonts w:ascii="Times New Roman" w:hAnsi="Times New Roman"/>
          <w:color w:val="000000"/>
        </w:rPr>
      </w:pPr>
      <w:r>
        <w:rPr>
          <w:rFonts w:ascii="Times New Roman" w:hAnsi="Times New Roman"/>
          <w:color w:val="000000"/>
        </w:rPr>
        <w:t>作为孵化、培训（实训）用途的使用（租用）剩余期限指2021年1月1日至合同终止。</w:t>
      </w:r>
    </w:p>
    <w:p>
      <w:pPr>
        <w:numPr>
          <w:ilvl w:val="0"/>
          <w:numId w:val="1"/>
        </w:numPr>
        <w:spacing w:line="590" w:lineRule="exact"/>
        <w:ind w:firstLine="640" w:firstLineChars="200"/>
        <w:jc w:val="left"/>
        <w:rPr>
          <w:rFonts w:ascii="Times New Roman" w:hAnsi="Times New Roman"/>
          <w:color w:val="000000"/>
        </w:rPr>
      </w:pPr>
      <w:r>
        <w:rPr>
          <w:rFonts w:ascii="Times New Roman" w:hAnsi="Times New Roman"/>
          <w:color w:val="000000"/>
        </w:rPr>
        <w:t>孵化场所实际利用率=实际用于孵化的面积/可用于孵化面积×100%。</w:t>
      </w:r>
    </w:p>
    <w:p>
      <w:pPr>
        <w:numPr>
          <w:ilvl w:val="0"/>
          <w:numId w:val="1"/>
        </w:numPr>
        <w:spacing w:line="590" w:lineRule="exact"/>
        <w:ind w:firstLine="640" w:firstLineChars="200"/>
        <w:jc w:val="left"/>
        <w:rPr>
          <w:rFonts w:ascii="Times New Roman" w:hAnsi="Times New Roman"/>
          <w:color w:val="000000"/>
        </w:rPr>
      </w:pPr>
      <w:r>
        <w:rPr>
          <w:rFonts w:ascii="Times New Roman" w:hAnsi="Times New Roman"/>
          <w:color w:val="000000"/>
        </w:rPr>
        <w:t>在孵创业实体数是截至2020年12月31日，基地内处于孵化协议期内的实体数，不含孵化到期未迁出实体数。</w:t>
      </w:r>
    </w:p>
    <w:p>
      <w:pPr>
        <w:numPr>
          <w:ilvl w:val="0"/>
          <w:numId w:val="1"/>
        </w:numPr>
        <w:spacing w:line="590" w:lineRule="exact"/>
        <w:ind w:firstLine="640" w:firstLineChars="200"/>
        <w:jc w:val="left"/>
        <w:rPr>
          <w:rFonts w:ascii="Times New Roman" w:hAnsi="Times New Roman"/>
          <w:color w:val="000000"/>
        </w:rPr>
      </w:pPr>
      <w:r>
        <w:rPr>
          <w:rFonts w:ascii="Times New Roman" w:hAnsi="Times New Roman"/>
          <w:color w:val="000000"/>
        </w:rPr>
        <w:t>在孵创业实体带动就业比=在孵实体带动就业人数/在孵实体数。在孵实体带动就业人数指在孵实体签订劳动合同或缴纳社保的人数，含创业者本人。</w:t>
      </w:r>
    </w:p>
    <w:p>
      <w:pPr>
        <w:numPr>
          <w:ilvl w:val="0"/>
          <w:numId w:val="1"/>
        </w:numPr>
        <w:spacing w:line="590" w:lineRule="exact"/>
        <w:ind w:firstLine="640" w:firstLineChars="200"/>
        <w:jc w:val="left"/>
        <w:rPr>
          <w:rFonts w:ascii="Times New Roman" w:hAnsi="Times New Roman"/>
          <w:color w:val="000000"/>
        </w:rPr>
      </w:pPr>
      <w:r>
        <w:rPr>
          <w:rFonts w:ascii="Times New Roman" w:hAnsi="Times New Roman"/>
          <w:color w:val="000000"/>
        </w:rPr>
        <w:t>大学生创业实体占比=在孵大学生创业实体数/在孵创业实体数×100%。大学生指毕业5年内（毕业时间为2016年1月1日-2020年12月31日）的国内高校毕业生（普通高等全日制、自学考试、成人高等教育、开放大学、远程教育等教育部认定大专及以上学历的毕业生）</w:t>
      </w:r>
      <w:r>
        <w:rPr>
          <w:rFonts w:ascii="Times New Roman" w:hAnsi="Times New Roman"/>
          <w:color w:val="000000"/>
          <w:szCs w:val="20"/>
        </w:rPr>
        <w:t>、国（境）外</w:t>
      </w:r>
      <w:r>
        <w:rPr>
          <w:rFonts w:ascii="Times New Roman" w:hAnsi="Times New Roman"/>
          <w:color w:val="000000"/>
        </w:rPr>
        <w:t>大学毕业生（取得国</w:t>
      </w:r>
      <w:r>
        <w:rPr>
          <w:rFonts w:ascii="Times New Roman" w:hAnsi="Times New Roman"/>
          <w:color w:val="000000"/>
          <w:szCs w:val="20"/>
        </w:rPr>
        <w:t>（境）外</w:t>
      </w:r>
      <w:r>
        <w:rPr>
          <w:rFonts w:ascii="Times New Roman" w:hAnsi="Times New Roman"/>
          <w:color w:val="000000"/>
        </w:rPr>
        <w:t>本科及以上学历，并经教育部认证的毕业生）、国内高校全日制在校生。</w:t>
      </w:r>
    </w:p>
    <w:p>
      <w:pPr>
        <w:numPr>
          <w:ilvl w:val="0"/>
          <w:numId w:val="1"/>
        </w:numPr>
        <w:spacing w:line="590" w:lineRule="exact"/>
        <w:ind w:firstLine="640" w:firstLineChars="200"/>
        <w:jc w:val="left"/>
        <w:rPr>
          <w:rFonts w:ascii="Times New Roman" w:hAnsi="Times New Roman"/>
          <w:color w:val="000000"/>
        </w:rPr>
      </w:pPr>
      <w:r>
        <w:rPr>
          <w:rFonts w:ascii="Times New Roman" w:hAnsi="Times New Roman"/>
          <w:color w:val="000000"/>
        </w:rPr>
        <w:t>入孵创业实体孵化成功率=孵化成功实体数/（孵化期满实体数+在孵化协议期内完成法定登记注册且孵化协议尚未到期的实体数）×100%。</w:t>
      </w:r>
    </w:p>
    <w:p>
      <w:pPr>
        <w:spacing w:line="590" w:lineRule="exact"/>
        <w:ind w:left="720"/>
        <w:jc w:val="left"/>
        <w:rPr>
          <w:rFonts w:ascii="Times New Roman" w:hAnsi="Times New Roman"/>
          <w:color w:val="000000"/>
        </w:rPr>
      </w:pPr>
      <w:r>
        <w:rPr>
          <w:rFonts w:ascii="Times New Roman" w:hAnsi="Times New Roman"/>
          <w:color w:val="000000"/>
        </w:rPr>
        <w:t>孵化成功是指下列两种情形：</w:t>
      </w:r>
    </w:p>
    <w:p>
      <w:pPr>
        <w:spacing w:line="590" w:lineRule="exact"/>
        <w:ind w:firstLine="640" w:firstLineChars="200"/>
        <w:jc w:val="left"/>
        <w:rPr>
          <w:rFonts w:ascii="Times New Roman" w:hAnsi="Times New Roman"/>
          <w:color w:val="000000"/>
        </w:rPr>
      </w:pPr>
      <w:r>
        <w:rPr>
          <w:rFonts w:ascii="Times New Roman" w:hAnsi="Times New Roman"/>
          <w:color w:val="000000"/>
        </w:rPr>
        <w:t>（1）入孵时未进行法定登记注册手续的入孵实体，在孵化协议期内完成法定登记注册。</w:t>
      </w:r>
    </w:p>
    <w:p>
      <w:pPr>
        <w:spacing w:line="590" w:lineRule="exact"/>
        <w:ind w:firstLine="640" w:firstLineChars="200"/>
        <w:jc w:val="left"/>
        <w:rPr>
          <w:rFonts w:ascii="Times New Roman" w:hAnsi="Times New Roman"/>
          <w:color w:val="000000"/>
        </w:rPr>
      </w:pPr>
      <w:r>
        <w:rPr>
          <w:rFonts w:ascii="Times New Roman" w:hAnsi="Times New Roman"/>
          <w:color w:val="000000"/>
        </w:rPr>
        <w:t>（2）入孵时已完成法定登记注册的实体，在孵化协议到期时处于正常经营状态。</w:t>
      </w:r>
    </w:p>
    <w:p>
      <w:pPr>
        <w:spacing w:line="590" w:lineRule="exact"/>
        <w:ind w:firstLine="640" w:firstLineChars="200"/>
        <w:jc w:val="left"/>
        <w:rPr>
          <w:rFonts w:ascii="Times New Roman" w:hAnsi="Times New Roman"/>
          <w:color w:val="000000"/>
        </w:rPr>
      </w:pPr>
      <w:r>
        <w:rPr>
          <w:rFonts w:ascii="Times New Roman" w:hAnsi="Times New Roman"/>
          <w:color w:val="000000"/>
        </w:rPr>
        <w:t>8. 创业实践率指参加创业能力培训人员中，培训后新领取营业执照或民办非企业登记证书等法定注册登记手续的人员所占比例。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193BD"/>
    <w:multiLevelType w:val="singleLevel"/>
    <w:tmpl w:val="A89193B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F2AE5"/>
    <w:rsid w:val="5CA2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嗔有时</cp:lastModifiedBy>
  <dcterms:modified xsi:type="dcterms:W3CDTF">2021-04-29T08:37:48Z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3DD502E340F34183A91E27E9713A30C1</vt:lpwstr>
  </property>
</Properties>
</file>