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方正黑体_GBK" w:eastAsia="方正黑体_GBK"/>
          <w:color w:val="000000"/>
        </w:rPr>
      </w:pPr>
      <w:bookmarkStart w:id="0" w:name="_GoBack"/>
      <w:bookmarkEnd w:id="0"/>
      <w:r>
        <w:rPr>
          <w:rFonts w:eastAsia="方正黑体_GBK"/>
          <w:color w:val="000000"/>
        </w:rPr>
        <w:t>附件</w:t>
      </w:r>
      <w:r>
        <w:rPr>
          <w:rFonts w:hint="eastAsia" w:ascii="Times New Roman" w:hAnsi="Times New Roman" w:eastAsia="方正黑体_GBK"/>
          <w:color w:val="000000"/>
        </w:rPr>
        <w:t>3</w:t>
      </w:r>
    </w:p>
    <w:p>
      <w:pPr>
        <w:spacing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>
      <w:pPr>
        <w:spacing w:after="120" w:afterLines="50"/>
        <w:jc w:val="center"/>
        <w:rPr>
          <w:rFonts w:eastAsia="方正黑体_GBK"/>
          <w:color w:val="000000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江苏省大学生优秀创业项目</w:t>
      </w:r>
      <w:r>
        <w:rPr>
          <w:rFonts w:eastAsia="方正小标宋_GBK"/>
          <w:color w:val="000000"/>
          <w:spacing w:val="-20"/>
          <w:sz w:val="44"/>
          <w:szCs w:val="44"/>
          <w:shd w:val="clear" w:color="auto" w:fill="FFFFFF"/>
        </w:rPr>
        <w:t>评估建议表</w:t>
      </w:r>
    </w:p>
    <w:tbl>
      <w:tblPr>
        <w:tblStyle w:val="2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9"/>
        <w:gridCol w:w="931"/>
        <w:gridCol w:w="506"/>
        <w:gridCol w:w="5223"/>
        <w:gridCol w:w="665"/>
        <w:gridCol w:w="58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4" w:hRule="atLeast"/>
          <w:tblHeader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napToGrid w:val="0"/>
              <w:ind w:firstLine="525" w:firstLineChars="250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评估内容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标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扣分说明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背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景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素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5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︶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注册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年内已在本省行政区域内实施并登记注册。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一票否决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项目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背景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无违法违纪行为和未了结的法律、经济纠纷，合法用工、正常缴纳（含阶段性减免）社会保险。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一票否决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3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项目宏观、微观背景均符合国家相关产业政策导向。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4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有利于优化资源配置、经济增长与扩大就业。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市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场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15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︶</w:t>
            </w:r>
          </w:p>
        </w:tc>
        <w:tc>
          <w:tcPr>
            <w:tcW w:w="931" w:type="dxa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营销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策略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5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目标市场定位准确。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6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营销计划合理、可操作性强。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市场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前景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7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产品或服务市场前景广阔，具备大范围占据市场的条件。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8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产品或服务在</w:t>
            </w: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年内可占据一定市场份额。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产 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及 服 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12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︶</w:t>
            </w:r>
          </w:p>
        </w:tc>
        <w:tc>
          <w:tcPr>
            <w:tcW w:w="931" w:type="dxa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优势</w:t>
            </w:r>
          </w:p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9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项目在某个行业或领域具有示范性和引领性。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产品或服务具有创新性、先进性及各种有利支撑条件，与同类相较具有优势。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技术和产品具有行业领先性或取得了自主专利等知识产权成果，能填补国内外空白。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更新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技术周期性持续创新、研究开发。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投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规 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8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︶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出资或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股权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占比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登记注册至申报年度上年末实际出资额不低于</w:t>
            </w: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万元，且出资比例或所占股权不得低于</w:t>
            </w: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%。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一票否决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2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投资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总额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项目生产量、资金筹措能力与投资规模匹配度高。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2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原材料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供应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持续而充足的原材料供给，生产过程稳定，能有效避免生产能力闲置。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2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规模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经济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项目公司年/月平均生产、服务能力逐步提高。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2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规模生产、服务可导致单位产品的生产成本降低、赢利增加。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项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目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队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18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︶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合法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拥有者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毕业</w:t>
            </w: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年内的国内、国（境）外毕业生、在校生。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一票否决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核心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团队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成员对目标市场、行业、产品熟悉度高，掌握核心或专业技术。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成员具备企业经营管理、融资与调拨能力等。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团队的工作理念一致、企业文化认同度高、较强的凝聚力、向心力。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股东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构成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股东社会征信良好、构成合理、决策高效、资金筹措能力强。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有为企业引入外部社会资源、辅导企业经营管理，帮助企业快速发展的投资人等。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人才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吸引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引进高层次人才或高技能人才</w:t>
            </w: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技能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水平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经常组织员工参加培训、实训、研讨等活动，具备相关商业活动经验。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营销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能力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26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团队中具备市场开拓、营销能力强及相关经验的人员占</w:t>
            </w: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%以上。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规 划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和 效 益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18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︶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战略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规划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27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企业发展规划清晰、科学、合理等。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商业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模式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28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商业模式可复制、可拓展，发展规划可行。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盈利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模式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以成立以来数据为基础，结合行业经验数据，建立未来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年盈利模型。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财务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5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财务制度健全。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5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31</w:t>
            </w:r>
          </w:p>
        </w:tc>
        <w:tc>
          <w:tcPr>
            <w:tcW w:w="5223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销售收入、收益率逐步递增。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风 险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 xml:space="preserve">防 控 </w:t>
            </w: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6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︶</w:t>
            </w:r>
          </w:p>
        </w:tc>
        <w:tc>
          <w:tcPr>
            <w:tcW w:w="93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风险</w:t>
            </w:r>
          </w:p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评估</w:t>
            </w:r>
          </w:p>
        </w:tc>
        <w:tc>
          <w:tcPr>
            <w:tcW w:w="5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32</w:t>
            </w:r>
          </w:p>
        </w:tc>
        <w:tc>
          <w:tcPr>
            <w:tcW w:w="5223" w:type="dxa"/>
            <w:vAlign w:val="center"/>
          </w:tcPr>
          <w:p>
            <w:pPr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对项目产品技术、财务、市场、融资、法律、宏观经济环境、道德等风险开展充分评估。</w:t>
            </w:r>
          </w:p>
        </w:tc>
        <w:tc>
          <w:tcPr>
            <w:tcW w:w="6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风险</w:t>
            </w:r>
          </w:p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处置</w:t>
            </w:r>
          </w:p>
        </w:tc>
        <w:tc>
          <w:tcPr>
            <w:tcW w:w="5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33</w:t>
            </w:r>
          </w:p>
        </w:tc>
        <w:tc>
          <w:tcPr>
            <w:tcW w:w="5223" w:type="dxa"/>
            <w:vAlign w:val="center"/>
          </w:tcPr>
          <w:p>
            <w:pPr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建立风险防控应对机制，防范创业风险。</w:t>
            </w:r>
          </w:p>
        </w:tc>
        <w:tc>
          <w:tcPr>
            <w:tcW w:w="6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社 会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sz w:val="21"/>
                <w:szCs w:val="21"/>
              </w:rPr>
              <w:t>效 应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18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︶</w:t>
            </w:r>
          </w:p>
        </w:tc>
        <w:tc>
          <w:tcPr>
            <w:tcW w:w="93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带动</w:t>
            </w:r>
          </w:p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就业</w:t>
            </w:r>
          </w:p>
        </w:tc>
        <w:tc>
          <w:tcPr>
            <w:tcW w:w="5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223" w:type="dxa"/>
            <w:vAlign w:val="center"/>
          </w:tcPr>
          <w:p>
            <w:pPr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直接带动就业人数达到</w:t>
            </w: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方正书宋_GBK"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以上。</w:t>
            </w:r>
          </w:p>
        </w:tc>
        <w:tc>
          <w:tcPr>
            <w:tcW w:w="6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8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社会</w:t>
            </w:r>
          </w:p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价值</w:t>
            </w:r>
          </w:p>
        </w:tc>
        <w:tc>
          <w:tcPr>
            <w:tcW w:w="5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35</w:t>
            </w:r>
          </w:p>
        </w:tc>
        <w:tc>
          <w:tcPr>
            <w:tcW w:w="5223" w:type="dxa"/>
            <w:vAlign w:val="center"/>
          </w:tcPr>
          <w:p>
            <w:pPr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带动当地产业发展、资源利用、民族文化传承等，促进重点群体就业创业。</w:t>
            </w:r>
          </w:p>
        </w:tc>
        <w:tc>
          <w:tcPr>
            <w:tcW w:w="6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赛事</w:t>
            </w:r>
          </w:p>
          <w:p>
            <w:pPr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参与</w:t>
            </w:r>
          </w:p>
        </w:tc>
        <w:tc>
          <w:tcPr>
            <w:tcW w:w="5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36</w:t>
            </w:r>
          </w:p>
        </w:tc>
        <w:tc>
          <w:tcPr>
            <w:tcW w:w="5223" w:type="dxa"/>
            <w:vAlign w:val="center"/>
          </w:tcPr>
          <w:p>
            <w:pPr>
              <w:spacing w:line="260" w:lineRule="exact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近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  <w:t>年，参加人社部门主办的创业大赛。</w:t>
            </w:r>
          </w:p>
        </w:tc>
        <w:tc>
          <w:tcPr>
            <w:tcW w:w="6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spacing w:line="26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z w:val="21"/>
                <w:szCs w:val="21"/>
              </w:rPr>
              <w:t>37</w:t>
            </w:r>
          </w:p>
        </w:tc>
        <w:tc>
          <w:tcPr>
            <w:tcW w:w="5223" w:type="dxa"/>
            <w:vAlign w:val="center"/>
          </w:tcPr>
          <w:p>
            <w:pPr>
              <w:spacing w:line="260" w:lineRule="exact"/>
              <w:rPr>
                <w:rFonts w:hint="eastAsia" w:ascii="方正书宋_GBK" w:eastAsia="方正书宋_GBK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color w:val="000000"/>
                <w:spacing w:val="-6"/>
                <w:kern w:val="0"/>
                <w:sz w:val="21"/>
                <w:szCs w:val="21"/>
              </w:rPr>
              <w:t>近</w:t>
            </w:r>
            <w:r>
              <w:rPr>
                <w:rFonts w:hint="eastAsia" w:ascii="Times New Roman" w:hAnsi="Times New Roman" w:eastAsia="方正书宋_GBK"/>
                <w:color w:val="000000"/>
                <w:spacing w:val="-6"/>
                <w:kern w:val="0"/>
                <w:sz w:val="21"/>
                <w:szCs w:val="21"/>
              </w:rPr>
              <w:t>3</w:t>
            </w:r>
            <w:r>
              <w:rPr>
                <w:rFonts w:hint="eastAsia" w:ascii="方正书宋_GBK" w:eastAsia="方正书宋_GBK"/>
                <w:color w:val="000000"/>
                <w:spacing w:val="-6"/>
                <w:kern w:val="0"/>
                <w:sz w:val="21"/>
                <w:szCs w:val="21"/>
              </w:rPr>
              <w:t>年，在市级及以上人社部门主办的创业大赛中获奖。</w:t>
            </w:r>
          </w:p>
        </w:tc>
        <w:tc>
          <w:tcPr>
            <w:tcW w:w="6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81" w:type="dxa"/>
            <w:vAlign w:val="center"/>
          </w:tcPr>
          <w:p>
            <w:pPr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9" w:type="dxa"/>
            <w:vMerge w:val="continue"/>
            <w:vAlign w:val="top"/>
          </w:tcPr>
          <w:p>
            <w:pPr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其他</w:t>
            </w:r>
          </w:p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效能</w:t>
            </w:r>
          </w:p>
        </w:tc>
        <w:tc>
          <w:tcPr>
            <w:tcW w:w="506" w:type="dxa"/>
            <w:vAlign w:val="center"/>
          </w:tcPr>
          <w:p>
            <w:pPr>
              <w:spacing w:line="26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sz w:val="21"/>
                <w:szCs w:val="21"/>
              </w:rPr>
              <w:t>38</w:t>
            </w:r>
          </w:p>
        </w:tc>
        <w:tc>
          <w:tcPr>
            <w:tcW w:w="5223" w:type="dxa"/>
            <w:vAlign w:val="center"/>
          </w:tcPr>
          <w:p>
            <w:pPr>
              <w:spacing w:line="260" w:lineRule="exact"/>
              <w:rPr>
                <w:rFonts w:hint="eastAsia"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bCs/>
                <w:color w:val="000000"/>
                <w:kern w:val="0"/>
                <w:sz w:val="21"/>
                <w:szCs w:val="21"/>
              </w:rPr>
              <w:t>促进节能减排、环境保护、推动绿色发展等。</w:t>
            </w:r>
          </w:p>
        </w:tc>
        <w:tc>
          <w:tcPr>
            <w:tcW w:w="6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方正书宋_GBK" w:eastAsia="方正书宋_GBK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C40FC"/>
    <w:rsid w:val="7853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嗔有时</cp:lastModifiedBy>
  <dcterms:modified xsi:type="dcterms:W3CDTF">2021-04-29T08:37:25Z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4937F62658D44C0BAF92428A08E9E1DF</vt:lpwstr>
  </property>
</Properties>
</file>