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  <w:t>附件3</w:t>
      </w:r>
    </w:p>
    <w:p>
      <w:pPr>
        <w:widowControl w:val="0"/>
        <w:tabs>
          <w:tab w:val="left" w:pos="9193"/>
          <w:tab w:val="left" w:pos="9827"/>
        </w:tabs>
        <w:autoSpaceDE w:val="0"/>
        <w:autoSpaceDN w:val="0"/>
        <w:adjustRightInd/>
        <w:spacing w:after="0" w:line="700" w:lineRule="atLeast"/>
        <w:jc w:val="center"/>
        <w:outlineLvl w:val="0"/>
        <w:rPr>
          <w:rFonts w:ascii="方正小标宋_GBK" w:hAnsi="宋体" w:eastAsia="方正小标宋_GBK" w:cs="楷体"/>
          <w:sz w:val="44"/>
          <w:szCs w:val="44"/>
        </w:rPr>
      </w:pPr>
      <w:r>
        <w:rPr>
          <w:rFonts w:hint="eastAsia" w:ascii="方正小标宋_GBK" w:hAnsi="宋体" w:eastAsia="方正小标宋_GBK" w:cs="楷体"/>
          <w:sz w:val="44"/>
          <w:szCs w:val="44"/>
        </w:rPr>
        <w:t>已授权知识产权汇总表</w:t>
      </w:r>
    </w:p>
    <w:p>
      <w:pPr>
        <w:widowControl w:val="0"/>
        <w:tabs>
          <w:tab w:val="left" w:pos="1442"/>
        </w:tabs>
        <w:autoSpaceDE w:val="0"/>
        <w:autoSpaceDN w:val="0"/>
        <w:adjustRightInd/>
        <w:spacing w:after="0" w:line="590" w:lineRule="atLeast"/>
        <w:ind w:firstLine="624"/>
        <w:jc w:val="center"/>
        <w:rPr>
          <w:rFonts w:ascii="Arial Unicode MS" w:hAnsi="Arial Unicode MS" w:eastAsia="方正仿宋_GBK" w:cs="Times New Roman"/>
          <w:snapToGrid w:val="0"/>
          <w:sz w:val="32"/>
        </w:rPr>
      </w:pP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51"/>
        <w:gridCol w:w="1418"/>
        <w:gridCol w:w="1417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2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知识产权名称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授权日期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授权号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获得方式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. . .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注：1.</w:t>
      </w:r>
      <w:r>
        <w:rPr>
          <w:rFonts w:ascii="宋体" w:hAnsi="宋体" w:eastAsia="宋体" w:cs="Times New Roman"/>
          <w:kern w:val="2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填写近三年数据；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2.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 xml:space="preserve"> 类别包括PCT专利、发明专利、实用新型、软件著作权、集成电路布图设计专有权、国家一类新药、国家二类新药、国家一级中药保护品种、三类医疗器械、二类医疗器械；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 xml:space="preserve">3. 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获得方式包括自主研发、受让、受赠、并购等。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kern w:val="2"/>
          <w:sz w:val="21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90334B"/>
    <w:rsid w:val="00D31D50"/>
    <w:rsid w:val="4C0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iPriority w:val="59"/>
    <w:pPr>
      <w:spacing w:after="0" w:line="240" w:lineRule="auto"/>
    </w:pPr>
    <w:rPr>
      <w:rFonts w:eastAsia="等线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LHJ</dc:creator>
  <cp:lastModifiedBy>嗔有时</cp:lastModifiedBy>
  <dcterms:modified xsi:type="dcterms:W3CDTF">2021-04-28T09:36:38Z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E0C22C45D7BA42B4A4FD7BD76BE6861F</vt:lpwstr>
  </property>
</Properties>
</file>