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1963" w:leftChars="304" w:hanging="1325" w:hangingChars="300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拟滚动支持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企业</w:t>
      </w:r>
      <w:r>
        <w:rPr>
          <w:rFonts w:hint="eastAsia" w:ascii="仿宋_GB2312" w:eastAsia="仿宋_GB2312"/>
          <w:b/>
          <w:sz w:val="44"/>
          <w:szCs w:val="44"/>
        </w:rPr>
        <w:t>清单</w:t>
      </w:r>
    </w:p>
    <w:p>
      <w:pPr>
        <w:spacing w:line="540" w:lineRule="exact"/>
        <w:ind w:left="1963" w:leftChars="304" w:hanging="1325" w:hangingChars="300"/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Style w:val="6"/>
        <w:tblW w:w="93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3550"/>
        <w:gridCol w:w="38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2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苏州锴威特半导体有限公司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硅基及碳化硅基高压功率半导体器件的研发及产业化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苏州洛瑞卡新材料科技有限公司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多功能高分子合金彩色耐候膜的研发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苏州普热斯勒先进成型技术有限公司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超高强度汽车</w:t>
            </w:r>
            <w:r>
              <w:rPr>
                <w:rFonts w:hint="eastAsia"/>
                <w:color w:val="000000"/>
                <w:sz w:val="22"/>
                <w:lang w:eastAsia="zh-CN"/>
              </w:rPr>
              <w:t>车身零部件激光落料及五轴激光切割设备的研发及产业化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苏州冷杉精密仪器有限公司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便携式挥发性有机物监测仪的研发及产业化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苏州润心医疗科技有限公司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冠状动脉斑块诊断系统研发与产业化</w:t>
            </w:r>
          </w:p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苏州易锐光电科技有限公司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200/400Gbps的硅基混合集成光收发芯片的开发和产业化</w:t>
            </w:r>
          </w:p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苏州感芯微系统技术有限公司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汽车级单片集成MEMS压力传感器芯片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8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苏州苏纳光电有限公司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面向第五代移动通信的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50G高速光探测器</w:t>
            </w:r>
            <w:r>
              <w:rPr>
                <w:rFonts w:hint="eastAsia"/>
                <w:color w:val="000000"/>
                <w:sz w:val="22"/>
              </w:rPr>
              <w:t>芯片</w:t>
            </w:r>
            <w:r>
              <w:rPr>
                <w:rFonts w:hint="eastAsia"/>
                <w:color w:val="000000"/>
                <w:sz w:val="22"/>
                <w:lang w:val="en-US" w:eastAsia="zh-CN"/>
              </w:rPr>
              <w:t>研发</w:t>
            </w:r>
            <w:r>
              <w:rPr>
                <w:rFonts w:hint="eastAsia"/>
                <w:color w:val="000000"/>
                <w:sz w:val="22"/>
              </w:rPr>
              <w:t>及产业化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9</w:t>
            </w:r>
          </w:p>
        </w:tc>
        <w:tc>
          <w:tcPr>
            <w:tcW w:w="35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苏州精控能源科技有限公司</w:t>
            </w:r>
          </w:p>
        </w:tc>
        <w:tc>
          <w:tcPr>
            <w:tcW w:w="3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一体化智能电源管理系统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10</w:t>
            </w:r>
          </w:p>
        </w:tc>
        <w:tc>
          <w:tcPr>
            <w:tcW w:w="355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优适医疗科技（苏州）有限公司</w:t>
            </w:r>
          </w:p>
        </w:tc>
        <w:tc>
          <w:tcPr>
            <w:tcW w:w="386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人工双动全髋关节系列产品的研发及产业化</w:t>
            </w:r>
          </w:p>
        </w:tc>
      </w:tr>
    </w:tbl>
    <w:p>
      <w:pPr>
        <w:spacing w:line="540" w:lineRule="exact"/>
        <w:ind w:right="640"/>
        <w:jc w:val="center"/>
        <w:rPr>
          <w:rFonts w:ascii="宋体" w:hAnsi="宋体"/>
          <w:b/>
          <w:sz w:val="44"/>
          <w:szCs w:val="44"/>
        </w:rPr>
      </w:pPr>
    </w:p>
    <w:p/>
    <w:sectPr>
      <w:footerReference r:id="rId3" w:type="default"/>
      <w:footerReference r:id="rId4" w:type="even"/>
      <w:pgSz w:w="11906" w:h="16838"/>
      <w:pgMar w:top="1440" w:right="12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6CE8"/>
    <w:rsid w:val="001C7E46"/>
    <w:rsid w:val="002162E6"/>
    <w:rsid w:val="004E348D"/>
    <w:rsid w:val="005E14A8"/>
    <w:rsid w:val="00A74EEE"/>
    <w:rsid w:val="00A94C8F"/>
    <w:rsid w:val="00AB5463"/>
    <w:rsid w:val="00BD1CCB"/>
    <w:rsid w:val="00CF490A"/>
    <w:rsid w:val="00EA2A6D"/>
    <w:rsid w:val="00F77E90"/>
    <w:rsid w:val="04A85A8D"/>
    <w:rsid w:val="05184467"/>
    <w:rsid w:val="1EDA6F54"/>
    <w:rsid w:val="205A0311"/>
    <w:rsid w:val="2F117775"/>
    <w:rsid w:val="3A2C6CE8"/>
    <w:rsid w:val="54D170ED"/>
    <w:rsid w:val="55A10391"/>
    <w:rsid w:val="5FFF0A84"/>
    <w:rsid w:val="65DA1EDB"/>
    <w:rsid w:val="7137024C"/>
    <w:rsid w:val="71FB1A0F"/>
    <w:rsid w:val="728D0484"/>
    <w:rsid w:val="7E7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Internet</Company>
  <Pages>1</Pages>
  <Words>67</Words>
  <Characters>388</Characters>
  <Lines>3</Lines>
  <Paragraphs>1</Paragraphs>
  <TotalTime>1</TotalTime>
  <ScaleCrop>false</ScaleCrop>
  <LinksUpToDate>false</LinksUpToDate>
  <CharactersWithSpaces>454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2017-04-07T06:22:00Z</dcterms:created>
  <dc:creator>admin</dc:creator>
  <cp:lastModifiedBy>冬末换季</cp:lastModifiedBy>
  <dcterms:modified xsi:type="dcterms:W3CDTF">2021-03-02T07:31:00Z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