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江苏区域名牌（服务业）申报条件</w:t>
      </w:r>
    </w:p>
    <w:p>
      <w:pPr>
        <w:rPr>
          <w:rFonts w:hint="eastAsia"/>
        </w:rPr>
      </w:pPr>
    </w:p>
    <w:p>
      <w:pPr>
        <w:spacing w:line="54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申报江苏区域名牌（服务业）应符合下列基本条件：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</w:t>
      </w:r>
      <w:r>
        <w:rPr>
          <w:rFonts w:hint="eastAsia" w:ascii="方正仿宋_GBK" w:eastAsia="方正仿宋_GBK"/>
          <w:sz w:val="32"/>
          <w:szCs w:val="32"/>
        </w:rPr>
        <w:t>乡（镇）及以上人民政府或其指定的机构成立了相应的江苏区域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名牌管理机构。</w:t>
      </w:r>
    </w:p>
    <w:p>
      <w:pPr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（二）地方政府对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集聚区产业有相应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发展规划和配套政策措施；辖区内有1家以上公共服务机构；服务质量整体水平稳定，客户服务体系健全；地方政府每年对申报区域投入递增幅度不少于10%；服务业在当地经济中占有重要地位，且具有良好的市场发展前景。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（三）已建立与主导产业关联的行业协会，能有效开展行业自律活动，规范同业竞争，维护行业和企业的合法权益。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（四）具有明确的行政或地理区域范围，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获得证明商标或集体商标。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具有良好的产业基础，产业和服务项目符合国家和省相关产业政策、法律法规和环境保护等要求，主导服务产业在全国具有较高的知名度，产业协作配套能力强，被认定为国家AAAA级及以上旅游景区、现代服务业聚集区域或全域旅游示范区等。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（六）区域区内已形成一批名牌龙头企业，有3家以上省级服务业名牌企业，市级以上名牌企业的主营业务收入占区域内同类企业的30%以上；有市场准入要求的，企业获证率达100%。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集聚区服务业有国家强制性标准要求的，企业必须按照强制性标准组织运行；有国家推荐性标准的，80%的企业服务标准水平不低于国家标准或行业标准，鼓励企业采用国际标准或国外先进标准；无国家标准或行业标准的，必须制定服务联盟标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（含服务、管理、诚信等要求，并具有先进性）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，且规模以上实施企业覆盖率不低于90%。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（八）集聚区内企业诚信经营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。近三年内无人员死亡或重残的安全责任事故，并且未发生对人身侵犯和健康损害的重大有责投诉，未被省级以上媒体曝光。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仿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大宋">
    <w:altName w:val="新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6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2018-06-17T00:49:43Z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