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EB" w:rsidRDefault="005431EB" w:rsidP="005431EB">
      <w:pPr>
        <w:adjustRightInd w:val="0"/>
        <w:snapToGrid w:val="0"/>
        <w:spacing w:line="580" w:lineRule="exact"/>
        <w:rPr>
          <w:rFonts w:ascii="方正仿宋_GBK" w:hAnsi="方正仿宋_GBK"/>
          <w:sz w:val="32"/>
          <w:szCs w:val="32"/>
        </w:rPr>
      </w:pPr>
      <w:r>
        <w:rPr>
          <w:rFonts w:ascii="方正仿宋_GBK" w:hAnsi="方正仿宋_GBK"/>
          <w:sz w:val="32"/>
          <w:szCs w:val="32"/>
        </w:rPr>
        <w:t>附件</w:t>
      </w:r>
      <w:r>
        <w:rPr>
          <w:rFonts w:ascii="方正仿宋_GBK" w:hAnsi="方正仿宋_GBK"/>
          <w:sz w:val="32"/>
          <w:szCs w:val="32"/>
        </w:rPr>
        <w:t>1</w:t>
      </w:r>
      <w:r>
        <w:rPr>
          <w:rFonts w:ascii="方正仿宋_GBK" w:hAnsi="方正仿宋_GBK"/>
          <w:sz w:val="32"/>
          <w:szCs w:val="32"/>
        </w:rPr>
        <w:t>：</w:t>
      </w:r>
    </w:p>
    <w:p w:rsidR="005431EB" w:rsidRDefault="005431EB" w:rsidP="005431EB">
      <w:pPr>
        <w:adjustRightInd w:val="0"/>
        <w:snapToGrid w:val="0"/>
        <w:spacing w:afterLines="100" w:line="480" w:lineRule="exact"/>
        <w:rPr>
          <w:rFonts w:ascii="宋体" w:hAnsi="华文中宋"/>
          <w:b/>
          <w:bCs/>
          <w:sz w:val="44"/>
          <w:szCs w:val="44"/>
        </w:rPr>
      </w:pPr>
      <w:r>
        <w:rPr>
          <w:rFonts w:ascii="宋体" w:hAnsi="华文中宋" w:hint="eastAsia"/>
          <w:b/>
          <w:bCs/>
          <w:sz w:val="44"/>
          <w:szCs w:val="44"/>
        </w:rPr>
        <w:t xml:space="preserve"> </w:t>
      </w:r>
    </w:p>
    <w:p w:rsidR="005431EB" w:rsidRDefault="005431EB" w:rsidP="005431EB">
      <w:pPr>
        <w:adjustRightInd w:val="0"/>
        <w:snapToGrid w:val="0"/>
        <w:spacing w:afterLines="100" w:line="480" w:lineRule="exact"/>
        <w:jc w:val="center"/>
        <w:rPr>
          <w:rFonts w:ascii="宋体" w:hAnsi="华文中宋" w:hint="eastAsia"/>
          <w:b/>
          <w:bCs/>
          <w:sz w:val="44"/>
          <w:szCs w:val="44"/>
        </w:rPr>
      </w:pPr>
      <w:r>
        <w:rPr>
          <w:rFonts w:ascii="宋体" w:hAnsi="宋体" w:hint="eastAsia"/>
          <w:b/>
          <w:bCs/>
          <w:sz w:val="44"/>
          <w:szCs w:val="44"/>
        </w:rPr>
        <w:t>江苏名牌申报告知书（企业承诺书）</w:t>
      </w:r>
    </w:p>
    <w:p w:rsidR="005431EB" w:rsidRDefault="005431EB" w:rsidP="005431EB">
      <w:pPr>
        <w:widowControl/>
        <w:adjustRightInd w:val="0"/>
        <w:snapToGrid w:val="0"/>
        <w:spacing w:line="480" w:lineRule="exact"/>
        <w:ind w:firstLineChars="200" w:firstLine="560"/>
        <w:rPr>
          <w:rFonts w:ascii="方正仿宋_GBK" w:hAnsi="方正仿宋_GBK" w:hint="eastAsia"/>
          <w:sz w:val="28"/>
          <w:szCs w:val="28"/>
        </w:rPr>
      </w:pPr>
      <w:r>
        <w:rPr>
          <w:rFonts w:ascii="方正仿宋_GBK" w:hAnsi="方正仿宋_GBK"/>
          <w:sz w:val="28"/>
          <w:szCs w:val="28"/>
        </w:rPr>
        <w:t>实施名牌战略是省委、省政府促进转型升级的战略选择，名牌评价工作是推进名牌战略的重要内容。为维护江苏名牌评价工作的正常秩序，保证评价工作的科学、公正、公平、公开，特向申报江苏名牌的企业告知如下事项：</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一、江苏名牌评价工作坚持企业自愿、公正、公平、公开的原则。</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二、江苏名牌评价工作严格按照《江苏名牌管理办法》规定的程序进行，凡不属于《江苏名牌管理办法》规定的评价程序的任何活动，均与评价工作无关，对评价结果不产生任何影响。在江苏名牌评价过程中，省质监局和省名牌战略推进委员会不举办、不参与、也不委托其他组织举办与名牌评价有关的任何活动。</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三、江苏省名牌战略推进委员会在省政府领导下，由省有关政府部门、社团组织等</w:t>
      </w:r>
      <w:r>
        <w:rPr>
          <w:rFonts w:ascii="方正仿宋_GBK" w:hAnsi="方正仿宋_GBK"/>
          <w:kern w:val="0"/>
          <w:sz w:val="28"/>
          <w:szCs w:val="28"/>
        </w:rPr>
        <w:t>单位组成。</w:t>
      </w:r>
      <w:r>
        <w:rPr>
          <w:rFonts w:ascii="方正仿宋_GBK" w:hAnsi="方正仿宋_GBK"/>
          <w:sz w:val="28"/>
          <w:szCs w:val="28"/>
        </w:rPr>
        <w:t>未经许可或委托，任何组成单位和个人不能代表省名牌战略推进委员会借江苏名牌评价名义开展任何形式的活动。</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四、江苏省名牌战略推进委员会将对初选名单公示的同时，公示企业有关经济、质量等申报数据（涉及企业商业机密的除外），接受社会各方面的监督。</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五、江苏名牌评价由相关专业委员会按照评价细则进行。专业委员会由行业协会、检测机构、科研院所和其他组织的专家以及消费者（用户）代表组成。专家从名推委专家库中随机产生。</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六、企业在申请江苏名牌过程中，须恪守以下原则：</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1</w:t>
      </w:r>
      <w:r>
        <w:rPr>
          <w:rFonts w:ascii="方正仿宋_GBK" w:hAnsi="方正仿宋_GBK"/>
          <w:sz w:val="28"/>
          <w:szCs w:val="28"/>
        </w:rPr>
        <w:t>、申报企业要诚实守信，如实填写申报材料，保证申报数据的真实、可查。</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lastRenderedPageBreak/>
        <w:t>2</w:t>
      </w:r>
      <w:r>
        <w:rPr>
          <w:rFonts w:ascii="方正仿宋_GBK" w:hAnsi="方正仿宋_GBK"/>
          <w:sz w:val="28"/>
          <w:szCs w:val="28"/>
        </w:rPr>
        <w:t>、申报企业要遵守公平、公正的原则，不得采取请客送礼等不正当手段，干扰江苏名牌评价工作。</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3</w:t>
      </w:r>
      <w:r>
        <w:rPr>
          <w:rFonts w:ascii="方正仿宋_GBK" w:hAnsi="方正仿宋_GBK"/>
          <w:sz w:val="28"/>
          <w:szCs w:val="28"/>
        </w:rPr>
        <w:t>、企业的申请材料一律按规定的格式编制，通过当地设区市质监部门或省行业主管部门统一报送。</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4</w:t>
      </w:r>
      <w:r>
        <w:rPr>
          <w:rFonts w:ascii="方正仿宋_GBK" w:hAnsi="方正仿宋_GBK"/>
          <w:sz w:val="28"/>
          <w:szCs w:val="28"/>
        </w:rPr>
        <w:t>、企业的广告宣传、赞助等活动属于企业的商业活动，与江苏名牌评价工作无关。企业应拒绝和抵制各种以盈利为目的的乱评比活动，并及时将有关情况向各级质监部门和省名牌战略推进委员会反映。</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七、江苏名牌评价接受社会监督，评价过程的相关信息可从江苏名牌网（</w:t>
      </w:r>
      <w:r>
        <w:rPr>
          <w:rFonts w:ascii="方正仿宋_GBK" w:hAnsi="方正仿宋_GBK"/>
          <w:sz w:val="28"/>
          <w:szCs w:val="28"/>
        </w:rPr>
        <w:t>www.jsfbw.org.cn</w:t>
      </w:r>
      <w:r>
        <w:rPr>
          <w:rFonts w:ascii="方正仿宋_GBK" w:hAnsi="方正仿宋_GBK"/>
          <w:sz w:val="28"/>
          <w:szCs w:val="28"/>
        </w:rPr>
        <w:t>）上查询。省名推委将设立专门的举报信箱，受理社会各方面的意见和投诉。</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573"/>
        <w:rPr>
          <w:rFonts w:ascii="仿宋_GB2312" w:hAnsi="仿宋_GB2312"/>
          <w:sz w:val="28"/>
          <w:szCs w:val="28"/>
        </w:rPr>
      </w:pPr>
      <w:r>
        <w:rPr>
          <w:rFonts w:ascii="仿宋_GB2312" w:hAnsi="仿宋_GB2312"/>
          <w:sz w:val="28"/>
          <w:szCs w:val="28"/>
        </w:rPr>
        <w:t xml:space="preserve"> </w:t>
      </w:r>
    </w:p>
    <w:p w:rsidR="005431EB" w:rsidRDefault="005431EB" w:rsidP="005431EB">
      <w:pPr>
        <w:widowControl/>
        <w:adjustRightInd w:val="0"/>
        <w:snapToGrid w:val="0"/>
        <w:spacing w:line="480" w:lineRule="exact"/>
        <w:ind w:firstLineChars="200" w:firstLine="560"/>
        <w:rPr>
          <w:rFonts w:ascii="方正仿宋_GBK" w:hAnsi="方正仿宋_GBK"/>
          <w:sz w:val="28"/>
          <w:szCs w:val="28"/>
        </w:rPr>
      </w:pPr>
      <w:r>
        <w:rPr>
          <w:rFonts w:ascii="方正仿宋_GBK" w:hAnsi="方正仿宋_GBK"/>
          <w:sz w:val="28"/>
          <w:szCs w:val="28"/>
        </w:rPr>
        <w:t>本企业确认已经理解上述条款，并承诺在申报江苏名牌过程中严格遵守。</w:t>
      </w:r>
    </w:p>
    <w:p w:rsidR="005431EB" w:rsidRDefault="005431EB" w:rsidP="005431EB">
      <w:pPr>
        <w:widowControl/>
        <w:adjustRightInd w:val="0"/>
        <w:snapToGrid w:val="0"/>
        <w:spacing w:line="480" w:lineRule="exact"/>
        <w:ind w:firstLineChars="100" w:firstLine="280"/>
        <w:rPr>
          <w:rFonts w:ascii="方正仿宋_GBK" w:hAnsi="方正仿宋_GBK"/>
          <w:sz w:val="28"/>
          <w:szCs w:val="28"/>
        </w:rPr>
      </w:pPr>
      <w:r>
        <w:rPr>
          <w:rFonts w:ascii="方正仿宋_GBK" w:hAnsi="方正仿宋_GBK"/>
          <w:sz w:val="28"/>
          <w:szCs w:val="28"/>
        </w:rPr>
        <w:t>企业名称（盖章）</w:t>
      </w:r>
      <w:r>
        <w:rPr>
          <w:rFonts w:ascii="方正仿宋_GBK" w:hAnsi="方正仿宋_GBK"/>
          <w:sz w:val="28"/>
          <w:szCs w:val="28"/>
          <w:u w:val="single"/>
        </w:rPr>
        <w:t xml:space="preserve">                                        </w:t>
      </w:r>
    </w:p>
    <w:p w:rsidR="005431EB" w:rsidRDefault="005431EB" w:rsidP="005431EB">
      <w:pPr>
        <w:widowControl/>
        <w:adjustRightInd w:val="0"/>
        <w:snapToGrid w:val="0"/>
        <w:spacing w:line="480" w:lineRule="exact"/>
        <w:ind w:firstLineChars="100" w:firstLine="280"/>
        <w:rPr>
          <w:rFonts w:ascii="方正仿宋_GBK" w:hAnsi="方正仿宋_GBK"/>
          <w:sz w:val="28"/>
          <w:szCs w:val="28"/>
        </w:rPr>
      </w:pPr>
      <w:r>
        <w:rPr>
          <w:rFonts w:ascii="方正仿宋_GBK" w:hAnsi="方正仿宋_GBK"/>
          <w:sz w:val="28"/>
          <w:szCs w:val="28"/>
        </w:rPr>
        <w:t>企业法人代表签字：</w:t>
      </w:r>
      <w:r>
        <w:rPr>
          <w:rFonts w:ascii="方正仿宋_GBK" w:hAnsi="方正仿宋_GBK"/>
          <w:sz w:val="28"/>
          <w:szCs w:val="28"/>
          <w:u w:val="single"/>
        </w:rPr>
        <w:t xml:space="preserve">               </w:t>
      </w:r>
      <w:r>
        <w:rPr>
          <w:rFonts w:ascii="方正仿宋_GBK" w:hAnsi="方正仿宋_GBK"/>
          <w:sz w:val="28"/>
          <w:szCs w:val="28"/>
        </w:rPr>
        <w:t xml:space="preserve">    </w:t>
      </w:r>
      <w:r>
        <w:rPr>
          <w:rFonts w:ascii="方正仿宋_GBK" w:hAnsi="方正仿宋_GBK"/>
          <w:sz w:val="28"/>
          <w:szCs w:val="28"/>
        </w:rPr>
        <w:t>日期：</w:t>
      </w:r>
      <w:r>
        <w:rPr>
          <w:rFonts w:ascii="方正仿宋_GBK" w:hAnsi="方正仿宋_GBK"/>
          <w:sz w:val="28"/>
          <w:szCs w:val="28"/>
          <w:u w:val="single"/>
        </w:rPr>
        <w:t xml:space="preserve">             </w:t>
      </w:r>
    </w:p>
    <w:p w:rsidR="005431EB" w:rsidRDefault="005431EB" w:rsidP="005431EB">
      <w:pPr>
        <w:spacing w:line="540" w:lineRule="exact"/>
        <w:rPr>
          <w:rFonts w:ascii="方正仿宋_GBK" w:hAnsi="方正仿宋_GBK"/>
          <w:sz w:val="32"/>
          <w:szCs w:val="32"/>
        </w:rPr>
      </w:pPr>
      <w:r>
        <w:rPr>
          <w:rFonts w:ascii="方正仿宋_GBK" w:hAnsi="方正仿宋_GBK"/>
          <w:sz w:val="32"/>
          <w:szCs w:val="32"/>
        </w:rPr>
        <w:t xml:space="preserve"> </w:t>
      </w:r>
    </w:p>
    <w:p w:rsidR="004C11BC" w:rsidRDefault="005431EB">
      <w:pPr>
        <w:rPr>
          <w:rFonts w:hint="eastAsia"/>
        </w:rPr>
      </w:pPr>
      <w:r>
        <w:rPr>
          <w:rFonts w:hint="eastAsia"/>
        </w:rPr>
        <w:t xml:space="preserve"> </w:t>
      </w:r>
    </w:p>
    <w:sectPr w:rsidR="004C11BC"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F1A" w:rsidRDefault="00591F1A" w:rsidP="005431EB">
      <w:r>
        <w:separator/>
      </w:r>
    </w:p>
  </w:endnote>
  <w:endnote w:type="continuationSeparator" w:id="0">
    <w:p w:rsidR="00591F1A" w:rsidRDefault="00591F1A" w:rsidP="005431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Times New Roman"/>
    <w:charset w:val="00"/>
    <w:family w:val="auto"/>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F1A" w:rsidRDefault="00591F1A" w:rsidP="005431EB">
      <w:r>
        <w:separator/>
      </w:r>
    </w:p>
  </w:footnote>
  <w:footnote w:type="continuationSeparator" w:id="0">
    <w:p w:rsidR="00591F1A" w:rsidRDefault="00591F1A" w:rsidP="005431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31EB"/>
    <w:rsid w:val="004C11BC"/>
    <w:rsid w:val="005431EB"/>
    <w:rsid w:val="00591F1A"/>
    <w:rsid w:val="00E66C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1E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31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431EB"/>
    <w:rPr>
      <w:sz w:val="18"/>
      <w:szCs w:val="18"/>
    </w:rPr>
  </w:style>
  <w:style w:type="paragraph" w:styleId="a4">
    <w:name w:val="footer"/>
    <w:basedOn w:val="a"/>
    <w:link w:val="Char0"/>
    <w:uiPriority w:val="99"/>
    <w:semiHidden/>
    <w:unhideWhenUsed/>
    <w:rsid w:val="005431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431EB"/>
    <w:rPr>
      <w:sz w:val="18"/>
      <w:szCs w:val="18"/>
    </w:rPr>
  </w:style>
</w:styles>
</file>

<file path=word/webSettings.xml><?xml version="1.0" encoding="utf-8"?>
<w:webSettings xmlns:r="http://schemas.openxmlformats.org/officeDocument/2006/relationships" xmlns:w="http://schemas.openxmlformats.org/wordprocessingml/2006/main">
  <w:divs>
    <w:div w:id="214041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515</Characters>
  <Application>Microsoft Office Word</Application>
  <DocSecurity>0</DocSecurity>
  <Lines>22</Lines>
  <Paragraphs>24</Paragraphs>
  <ScaleCrop>false</ScaleCrop>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2018-06-17T00:42:00Z</dcterms:created>
  <dcterms:modified xsi:type="dcterms:W3CDTF">2018-06-17T00:42:00Z</dcterms:modified>
</cp:coreProperties>
</file>