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附件2</w:t>
      </w:r>
    </w:p>
    <w:p>
      <w:pPr>
        <w:jc w:val="center"/>
        <w:rPr>
          <w:rFonts w:hint="eastAsia" w:ascii="黑体" w:hAnsi="黑体" w:eastAsia="黑体" w:cs="黑体"/>
          <w:sz w:val="36"/>
          <w:szCs w:val="36"/>
          <w:highlight w:val="none"/>
        </w:rPr>
      </w:pPr>
      <w:r>
        <w:rPr>
          <w:rFonts w:hint="eastAsia" w:ascii="黑体" w:hAnsi="黑体" w:eastAsia="黑体" w:cs="黑体"/>
          <w:sz w:val="36"/>
          <w:szCs w:val="36"/>
          <w:highlight w:val="none"/>
        </w:rPr>
        <w:t>2018年绿色制造系统集成工作申报要求</w:t>
      </w:r>
    </w:p>
    <w:p>
      <w:pPr>
        <w:widowControl/>
        <w:autoSpaceDE w:val="0"/>
        <w:autoSpaceDN w:val="0"/>
        <w:adjustRightInd w:val="0"/>
        <w:spacing w:before="162" w:beforeLines="50" w:afterLines="0" w:line="540" w:lineRule="exact"/>
        <w:ind w:firstLine="640" w:firstLineChars="200"/>
        <w:rPr>
          <w:rFonts w:eastAsia="仿宋_GB2312"/>
          <w:sz w:val="32"/>
          <w:szCs w:val="32"/>
          <w:highlight w:val="none"/>
        </w:rPr>
      </w:pPr>
      <w:r>
        <w:rPr>
          <w:rFonts w:eastAsia="仿宋_GB2312"/>
          <w:sz w:val="32"/>
          <w:szCs w:val="28"/>
          <w:highlight w:val="none"/>
        </w:rPr>
        <w:t>为</w:t>
      </w:r>
      <w:r>
        <w:rPr>
          <w:rFonts w:hint="eastAsia" w:ascii="仿宋_GB2312" w:hAnsi="仿宋_GB2312" w:eastAsia="仿宋_GB2312" w:cs="仿宋_GB2312"/>
          <w:sz w:val="32"/>
          <w:szCs w:val="32"/>
          <w:highlight w:val="none"/>
        </w:rPr>
        <w:t>深入实施绿色制造工程</w:t>
      </w:r>
      <w:r>
        <w:rPr>
          <w:rFonts w:hint="eastAsia" w:ascii="仿宋_GB2312" w:hAnsi="仿宋_GB2312" w:eastAsia="仿宋_GB2312" w:cs="仿宋_GB2312"/>
          <w:sz w:val="32"/>
          <w:szCs w:val="32"/>
          <w:highlight w:val="none"/>
          <w:lang/>
        </w:rPr>
        <w:t>，促进制造业绿色升级，培育制造业竞争新优势，</w:t>
      </w:r>
      <w:r>
        <w:rPr>
          <w:rFonts w:hint="eastAsia" w:ascii="仿宋_GB2312" w:hAnsi="仿宋_GB2312" w:eastAsia="仿宋_GB2312" w:cs="仿宋_GB2312"/>
          <w:sz w:val="32"/>
          <w:szCs w:val="32"/>
          <w:highlight w:val="none"/>
        </w:rPr>
        <w:t>工业和信息化</w:t>
      </w:r>
      <w:r>
        <w:rPr>
          <w:rFonts w:hint="eastAsia" w:ascii="仿宋_GB2312" w:hAnsi="仿宋_GB2312" w:eastAsia="仿宋_GB2312" w:cs="仿宋_GB2312"/>
          <w:sz w:val="32"/>
          <w:szCs w:val="28"/>
          <w:highlight w:val="none"/>
        </w:rPr>
        <w:t>部、财政部决定联合开展2018年</w:t>
      </w:r>
      <w:r>
        <w:rPr>
          <w:rFonts w:eastAsia="仿宋_GB2312"/>
          <w:sz w:val="32"/>
          <w:szCs w:val="32"/>
          <w:highlight w:val="none"/>
        </w:rPr>
        <w:t>绿色制造系统集成工作</w:t>
      </w:r>
      <w:r>
        <w:rPr>
          <w:rFonts w:eastAsia="仿宋_GB2312"/>
          <w:sz w:val="32"/>
          <w:szCs w:val="28"/>
          <w:highlight w:val="none"/>
        </w:rPr>
        <w:t>，有关事项要求如下：</w:t>
      </w:r>
    </w:p>
    <w:p>
      <w:pPr>
        <w:spacing w:line="540" w:lineRule="exact"/>
        <w:ind w:firstLine="605" w:firstLineChars="189"/>
        <w:rPr>
          <w:rFonts w:eastAsia="黑体"/>
          <w:sz w:val="32"/>
          <w:szCs w:val="32"/>
          <w:highlight w:val="none"/>
        </w:rPr>
      </w:pPr>
      <w:r>
        <w:rPr>
          <w:rFonts w:eastAsia="黑体"/>
          <w:sz w:val="32"/>
          <w:szCs w:val="32"/>
          <w:highlight w:val="none"/>
        </w:rPr>
        <w:t>一、支持重点方向</w:t>
      </w:r>
    </w:p>
    <w:p>
      <w:pPr>
        <w:spacing w:line="540" w:lineRule="exact"/>
        <w:ind w:firstLine="640" w:firstLineChars="200"/>
        <w:rPr>
          <w:rFonts w:eastAsia="仿宋_GB2312"/>
          <w:sz w:val="32"/>
          <w:szCs w:val="32"/>
          <w:highlight w:val="none"/>
        </w:rPr>
      </w:pPr>
      <w:r>
        <w:rPr>
          <w:rFonts w:eastAsia="仿宋_GB2312"/>
          <w:sz w:val="32"/>
          <w:szCs w:val="32"/>
          <w:highlight w:val="none"/>
        </w:rPr>
        <w:t>根据《财政部 工业和信息化部关于组织开展绿色制造系统集成工作的通知》（财建</w:t>
      </w:r>
      <w:r>
        <w:rPr>
          <w:rFonts w:hint="eastAsia" w:ascii="仿宋_GB2312" w:hAnsi="仿宋_GB2312" w:eastAsia="仿宋_GB2312" w:cs="仿宋_GB2312"/>
          <w:sz w:val="32"/>
          <w:szCs w:val="32"/>
          <w:highlight w:val="none"/>
        </w:rPr>
        <w:t>〔2016〕797号）要求，重点在机械、电子、化工、食品、纺织、家电、大型成套装</w:t>
      </w:r>
      <w:r>
        <w:rPr>
          <w:rFonts w:eastAsia="仿宋_GB2312"/>
          <w:sz w:val="32"/>
          <w:szCs w:val="32"/>
          <w:highlight w:val="none"/>
        </w:rPr>
        <w:t>备等行业，围绕绿色设计平台建设、绿色关键工艺突破、绿色供应链系统构建三个方向，推进绿色制造系统集成工作。</w:t>
      </w:r>
    </w:p>
    <w:p>
      <w:pPr>
        <w:spacing w:line="540" w:lineRule="exact"/>
        <w:ind w:firstLine="605" w:firstLineChars="189"/>
        <w:rPr>
          <w:rFonts w:eastAsia="黑体"/>
          <w:sz w:val="32"/>
          <w:szCs w:val="32"/>
          <w:highlight w:val="none"/>
        </w:rPr>
      </w:pPr>
      <w:r>
        <w:rPr>
          <w:rFonts w:eastAsia="黑体"/>
          <w:sz w:val="32"/>
          <w:szCs w:val="32"/>
          <w:highlight w:val="none"/>
        </w:rPr>
        <w:t>二、实施主体</w:t>
      </w:r>
    </w:p>
    <w:p>
      <w:pPr>
        <w:spacing w:line="540" w:lineRule="exact"/>
        <w:ind w:firstLine="640" w:firstLineChars="200"/>
        <w:rPr>
          <w:rFonts w:hint="eastAsia" w:eastAsia="仿宋_GB2312"/>
          <w:sz w:val="32"/>
          <w:szCs w:val="32"/>
          <w:highlight w:val="none"/>
        </w:rPr>
      </w:pPr>
      <w:r>
        <w:rPr>
          <w:rFonts w:eastAsia="仿宋_GB2312"/>
          <w:sz w:val="32"/>
          <w:szCs w:val="32"/>
          <w:highlight w:val="none"/>
        </w:rPr>
        <w:t>绿色制造系统集成工作以组建联合体的方式协同推进，由行业龙头企业作为牵头单位，</w:t>
      </w:r>
      <w:r>
        <w:rPr>
          <w:rFonts w:hint="eastAsia" w:eastAsia="仿宋_GB2312"/>
          <w:sz w:val="32"/>
          <w:szCs w:val="32"/>
          <w:highlight w:val="none"/>
        </w:rPr>
        <w:t>与</w:t>
      </w:r>
      <w:r>
        <w:rPr>
          <w:rFonts w:eastAsia="仿宋_GB2312"/>
          <w:sz w:val="32"/>
          <w:szCs w:val="32"/>
          <w:highlight w:val="none"/>
        </w:rPr>
        <w:t>重点企业、上下游企业、</w:t>
      </w:r>
      <w:r>
        <w:rPr>
          <w:rFonts w:hint="eastAsia" w:eastAsia="仿宋_GB2312"/>
          <w:sz w:val="32"/>
          <w:szCs w:val="32"/>
          <w:highlight w:val="none"/>
        </w:rPr>
        <w:t>中介</w:t>
      </w:r>
      <w:r>
        <w:rPr>
          <w:rFonts w:eastAsia="仿宋_GB2312"/>
          <w:sz w:val="32"/>
          <w:szCs w:val="32"/>
          <w:highlight w:val="none"/>
        </w:rPr>
        <w:t>机构以及研究</w:t>
      </w:r>
      <w:r>
        <w:rPr>
          <w:rFonts w:hint="eastAsia" w:eastAsia="仿宋_GB2312"/>
          <w:sz w:val="32"/>
          <w:szCs w:val="32"/>
          <w:highlight w:val="none"/>
        </w:rPr>
        <w:t>院所</w:t>
      </w:r>
      <w:r>
        <w:rPr>
          <w:rFonts w:eastAsia="仿宋_GB2312"/>
          <w:sz w:val="32"/>
          <w:szCs w:val="32"/>
          <w:highlight w:val="none"/>
        </w:rPr>
        <w:t>等组成联合体，承担绿色制造系统集成任务。组建的联合体须突出需求牵引和问题导向，强化技术、资本等内在纽带，通过签署合作协议书，明确组织方式、明晰责权利。</w:t>
      </w:r>
    </w:p>
    <w:p>
      <w:pPr>
        <w:spacing w:line="540" w:lineRule="exact"/>
        <w:ind w:firstLine="605" w:firstLineChars="189"/>
        <w:rPr>
          <w:rFonts w:eastAsia="黑体"/>
          <w:sz w:val="32"/>
          <w:szCs w:val="32"/>
          <w:highlight w:val="none"/>
        </w:rPr>
      </w:pPr>
      <w:r>
        <w:rPr>
          <w:rFonts w:hint="eastAsia" w:eastAsia="黑体"/>
          <w:sz w:val="32"/>
          <w:szCs w:val="32"/>
          <w:highlight w:val="none"/>
        </w:rPr>
        <w:t>三、</w:t>
      </w:r>
      <w:r>
        <w:rPr>
          <w:rFonts w:eastAsia="黑体"/>
          <w:sz w:val="32"/>
          <w:szCs w:val="32"/>
          <w:highlight w:val="none"/>
        </w:rPr>
        <w:t>申报</w:t>
      </w:r>
      <w:r>
        <w:rPr>
          <w:rFonts w:hint="eastAsia" w:eastAsia="黑体"/>
          <w:sz w:val="32"/>
          <w:szCs w:val="32"/>
          <w:highlight w:val="none"/>
        </w:rPr>
        <w:t>条件</w:t>
      </w:r>
    </w:p>
    <w:p>
      <w:pPr>
        <w:spacing w:line="540" w:lineRule="exact"/>
        <w:ind w:firstLine="640" w:firstLineChars="200"/>
        <w:rPr>
          <w:rFonts w:eastAsia="仿宋_GB2312"/>
          <w:sz w:val="32"/>
          <w:szCs w:val="32"/>
          <w:highlight w:val="none"/>
        </w:rPr>
      </w:pPr>
      <w:r>
        <w:rPr>
          <w:rFonts w:hint="eastAsia" w:eastAsia="仿宋_GB2312"/>
          <w:sz w:val="32"/>
          <w:szCs w:val="32"/>
          <w:highlight w:val="none"/>
        </w:rPr>
        <w:t>（一）</w:t>
      </w:r>
      <w:r>
        <w:rPr>
          <w:rFonts w:eastAsia="仿宋_GB2312"/>
          <w:sz w:val="32"/>
          <w:szCs w:val="32"/>
          <w:highlight w:val="none"/>
        </w:rPr>
        <w:t>联合体牵头单位</w:t>
      </w:r>
      <w:r>
        <w:rPr>
          <w:rFonts w:hint="eastAsia" w:eastAsia="仿宋_GB2312"/>
          <w:sz w:val="32"/>
          <w:szCs w:val="32"/>
          <w:highlight w:val="none"/>
        </w:rPr>
        <w:t>为项目</w:t>
      </w:r>
      <w:r>
        <w:rPr>
          <w:rFonts w:eastAsia="仿宋_GB2312"/>
          <w:sz w:val="32"/>
          <w:szCs w:val="32"/>
          <w:highlight w:val="none"/>
        </w:rPr>
        <w:t>申报</w:t>
      </w:r>
      <w:r>
        <w:rPr>
          <w:rFonts w:hint="eastAsia" w:eastAsia="仿宋_GB2312"/>
          <w:sz w:val="32"/>
          <w:szCs w:val="32"/>
          <w:highlight w:val="none"/>
        </w:rPr>
        <w:t>单位</w:t>
      </w:r>
      <w:r>
        <w:rPr>
          <w:rFonts w:eastAsia="仿宋_GB2312"/>
          <w:sz w:val="32"/>
          <w:szCs w:val="32"/>
          <w:highlight w:val="none"/>
        </w:rPr>
        <w:t>。联合体的全部成员单位应在中华人民共和国境内注册、具备独立法人资格，运营和财务状况良好，近三年无重大安全、环保、质量等事故。</w:t>
      </w:r>
    </w:p>
    <w:p>
      <w:pPr>
        <w:spacing w:line="540" w:lineRule="exact"/>
        <w:ind w:firstLine="640" w:firstLineChars="200"/>
        <w:rPr>
          <w:rFonts w:eastAsia="仿宋_GB2312"/>
          <w:sz w:val="32"/>
          <w:szCs w:val="32"/>
          <w:highlight w:val="none"/>
        </w:rPr>
      </w:pPr>
      <w:r>
        <w:rPr>
          <w:rFonts w:hint="eastAsia" w:eastAsia="仿宋_GB2312"/>
          <w:sz w:val="32"/>
          <w:szCs w:val="32"/>
          <w:highlight w:val="none"/>
        </w:rPr>
        <w:t>（二）</w:t>
      </w:r>
      <w:r>
        <w:rPr>
          <w:rFonts w:eastAsia="仿宋_GB2312"/>
          <w:sz w:val="32"/>
          <w:szCs w:val="32"/>
          <w:highlight w:val="none"/>
        </w:rPr>
        <w:t>联合体</w:t>
      </w:r>
      <w:r>
        <w:rPr>
          <w:rFonts w:hint="eastAsia" w:eastAsia="仿宋_GB2312"/>
          <w:sz w:val="32"/>
          <w:szCs w:val="32"/>
          <w:highlight w:val="none"/>
        </w:rPr>
        <w:t>全体</w:t>
      </w:r>
      <w:r>
        <w:rPr>
          <w:rFonts w:eastAsia="仿宋_GB2312"/>
          <w:sz w:val="32"/>
          <w:szCs w:val="32"/>
          <w:highlight w:val="none"/>
        </w:rPr>
        <w:t>成员单位共同签署合作协议书，明确联合体组织方式或运营机制、成员单位权责利、承担项目的任务分工、资金分配、联合体长期发展计划等。补助资金分配比例应明确量化，并与各单位所承担的任务量、工程量及标准等产出相匹配</w:t>
      </w:r>
      <w:r>
        <w:rPr>
          <w:rFonts w:hint="eastAsia" w:eastAsia="仿宋_GB2312"/>
          <w:sz w:val="32"/>
          <w:szCs w:val="32"/>
          <w:highlight w:val="none"/>
        </w:rPr>
        <w:t>。</w:t>
      </w:r>
      <w:r>
        <w:rPr>
          <w:rFonts w:hint="default" w:eastAsia="仿宋_GB2312"/>
          <w:sz w:val="32"/>
          <w:szCs w:val="32"/>
          <w:highlight w:val="none"/>
        </w:rPr>
        <w:t>联合体单位应为实施项目深度参与单位，项目申报单位加强对联合体单位的管理和约束，</w:t>
      </w:r>
      <w:r>
        <w:rPr>
          <w:rFonts w:hint="eastAsia" w:eastAsia="仿宋_GB2312"/>
          <w:sz w:val="32"/>
          <w:szCs w:val="32"/>
          <w:highlight w:val="none"/>
        </w:rPr>
        <w:t>不得纳入与达成联合体实施目标无直接关系或关联度不高的成员单位。</w:t>
      </w:r>
    </w:p>
    <w:p>
      <w:pPr>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（三）同一法人项目申报单位限申</w:t>
      </w:r>
      <w:r>
        <w:rPr>
          <w:rFonts w:hint="eastAsia" w:ascii="仿宋_GB2312" w:hAnsi="仿宋_GB2312" w:eastAsia="仿宋_GB2312" w:cs="仿宋_GB2312"/>
          <w:sz w:val="32"/>
          <w:szCs w:val="32"/>
          <w:highlight w:val="none"/>
        </w:rPr>
        <w:t>报1个绿色制造系统集成项目，</w:t>
      </w:r>
      <w:r>
        <w:rPr>
          <w:rFonts w:hint="default" w:ascii="仿宋_GB2312" w:hAnsi="仿宋_GB2312" w:eastAsia="仿宋_GB2312" w:cs="仿宋_GB2312"/>
          <w:sz w:val="32"/>
          <w:szCs w:val="32"/>
          <w:highlight w:val="none"/>
        </w:rPr>
        <w:t>近三年内</w:t>
      </w:r>
      <w:r>
        <w:rPr>
          <w:rFonts w:hint="eastAsia" w:ascii="仿宋_GB2312" w:hAnsi="仿宋_GB2312" w:eastAsia="仿宋_GB2312" w:cs="仿宋_GB2312"/>
          <w:sz w:val="32"/>
          <w:szCs w:val="32"/>
          <w:highlight w:val="none"/>
        </w:rPr>
        <w:t>已获得工业转型升级资金支持的同一法人单位不得重复申报，所列项目整体（</w:t>
      </w:r>
      <w:r>
        <w:rPr>
          <w:rFonts w:hint="eastAsia" w:eastAsia="仿宋_GB2312"/>
          <w:sz w:val="32"/>
          <w:szCs w:val="32"/>
          <w:highlight w:val="none"/>
        </w:rPr>
        <w:t>含子项）已申报其他渠道中央财政资金支持的项目不得重复申报。</w:t>
      </w:r>
    </w:p>
    <w:p>
      <w:pPr>
        <w:spacing w:line="540" w:lineRule="exact"/>
        <w:ind w:firstLine="640" w:firstLineChars="200"/>
        <w:rPr>
          <w:rFonts w:hint="eastAsia" w:eastAsia="仿宋_GB2312"/>
          <w:sz w:val="32"/>
          <w:szCs w:val="32"/>
          <w:highlight w:val="none"/>
        </w:rPr>
      </w:pPr>
      <w:r>
        <w:rPr>
          <w:rFonts w:hint="eastAsia" w:eastAsia="仿宋_GB2312"/>
          <w:sz w:val="32"/>
          <w:szCs w:val="32"/>
          <w:highlight w:val="none"/>
        </w:rPr>
        <w:t>（四）申报</w:t>
      </w:r>
      <w:r>
        <w:rPr>
          <w:rFonts w:eastAsia="仿宋_GB2312"/>
          <w:sz w:val="32"/>
          <w:szCs w:val="32"/>
          <w:highlight w:val="none"/>
        </w:rPr>
        <w:t>项目应符合年度指南方向（</w:t>
      </w:r>
      <w:r>
        <w:rPr>
          <w:rFonts w:hint="eastAsia" w:ascii="仿宋_GB2312" w:hAnsi="仿宋_GB2312" w:eastAsia="仿宋_GB2312" w:cs="仿宋_GB2312"/>
          <w:sz w:val="32"/>
          <w:szCs w:val="32"/>
          <w:highlight w:val="none"/>
        </w:rPr>
        <w:t>见附1），在本领域应具有通用性，突出标准引领，能够形成促进该领域整体绿色水平升级的系统化、集成化模式和绿色标准。项目前期工作应较完善，并应于2020年12月底</w:t>
      </w:r>
      <w:r>
        <w:rPr>
          <w:rFonts w:eastAsia="仿宋_GB2312"/>
          <w:sz w:val="32"/>
          <w:szCs w:val="32"/>
          <w:highlight w:val="none"/>
        </w:rPr>
        <w:t>前实施完毕。项目完成后须达到绩效考核目标要求。</w:t>
      </w:r>
    </w:p>
    <w:p>
      <w:pPr>
        <w:spacing w:line="540" w:lineRule="exact"/>
        <w:ind w:firstLine="640" w:firstLineChars="200"/>
        <w:rPr>
          <w:rFonts w:eastAsia="仿宋_GB2312"/>
          <w:sz w:val="32"/>
          <w:szCs w:val="32"/>
          <w:highlight w:val="none"/>
          <w:lang w:bidi="en-US"/>
        </w:rPr>
      </w:pPr>
      <w:r>
        <w:rPr>
          <w:rFonts w:hint="eastAsia" w:eastAsia="仿宋_GB2312"/>
          <w:sz w:val="32"/>
          <w:szCs w:val="32"/>
          <w:highlight w:val="none"/>
        </w:rPr>
        <w:t>（五）</w:t>
      </w:r>
      <w:r>
        <w:rPr>
          <w:rFonts w:eastAsia="仿宋_GB2312"/>
          <w:sz w:val="32"/>
          <w:szCs w:val="32"/>
          <w:highlight w:val="none"/>
          <w:lang w:bidi="en-US"/>
        </w:rPr>
        <w:t>鼓励联合体共同制定实施综合性绿色制造团体标准并积极推动该标准上升为行业标准、国家标准，支持联合体发展成长为节能环保指标先进、具有长远经济效益、行业引领效果显著、服务带动制造业绿色制造转型的专业机构，逐步形成推动绿色制造发展的长效机制。鼓励联合体内企业同步实施绿色制造体系建设。</w:t>
      </w:r>
    </w:p>
    <w:p>
      <w:pPr>
        <w:spacing w:line="540" w:lineRule="exact"/>
        <w:ind w:firstLine="640" w:firstLineChars="200"/>
        <w:rPr>
          <w:rFonts w:hint="eastAsia" w:eastAsia="仿宋_GB2312"/>
          <w:sz w:val="32"/>
          <w:szCs w:val="32"/>
          <w:highlight w:val="none"/>
          <w:lang w:val="en-US"/>
        </w:rPr>
      </w:pPr>
      <w:r>
        <w:rPr>
          <w:rFonts w:hint="eastAsia" w:eastAsia="仿宋_GB2312"/>
          <w:sz w:val="32"/>
          <w:szCs w:val="32"/>
          <w:highlight w:val="none"/>
          <w:lang w:val="en-US" w:bidi="en-US"/>
        </w:rPr>
        <w:t>（六）聚焦国家重大发展战略，对</w:t>
      </w:r>
      <w:r>
        <w:rPr>
          <w:rFonts w:hint="default" w:eastAsia="仿宋_GB2312"/>
          <w:sz w:val="32"/>
          <w:szCs w:val="32"/>
          <w:highlight w:val="none"/>
          <w:lang w:bidi="en-US"/>
        </w:rPr>
        <w:t>涉及绿色生态环境意义重大的重点区域给予一定倾斜支持。</w:t>
      </w:r>
    </w:p>
    <w:p>
      <w:pPr>
        <w:spacing w:line="540" w:lineRule="exact"/>
        <w:ind w:firstLine="605" w:firstLineChars="189"/>
        <w:rPr>
          <w:rFonts w:eastAsia="黑体"/>
          <w:sz w:val="32"/>
          <w:szCs w:val="32"/>
          <w:highlight w:val="none"/>
        </w:rPr>
      </w:pPr>
      <w:r>
        <w:rPr>
          <w:rFonts w:hint="default" w:eastAsia="黑体"/>
          <w:sz w:val="32"/>
          <w:szCs w:val="32"/>
          <w:highlight w:val="none"/>
        </w:rPr>
        <w:t xml:space="preserve"> </w:t>
      </w:r>
      <w:r>
        <w:rPr>
          <w:rFonts w:hint="eastAsia" w:eastAsia="黑体"/>
          <w:sz w:val="32"/>
          <w:szCs w:val="32"/>
          <w:highlight w:val="none"/>
        </w:rPr>
        <w:t>四</w:t>
      </w:r>
      <w:r>
        <w:rPr>
          <w:rFonts w:eastAsia="黑体"/>
          <w:sz w:val="32"/>
          <w:szCs w:val="32"/>
          <w:highlight w:val="none"/>
        </w:rPr>
        <w:t>、具体工作程序</w:t>
      </w:r>
    </w:p>
    <w:p>
      <w:pPr>
        <w:spacing w:line="540" w:lineRule="exact"/>
        <w:ind w:firstLine="640" w:firstLineChars="200"/>
        <w:rPr>
          <w:rFonts w:eastAsia="仿宋_GB2312"/>
          <w:sz w:val="32"/>
          <w:szCs w:val="32"/>
          <w:highlight w:val="none"/>
        </w:rPr>
      </w:pPr>
      <w:r>
        <w:rPr>
          <w:rFonts w:eastAsia="仿宋_GB2312"/>
          <w:sz w:val="32"/>
          <w:szCs w:val="32"/>
          <w:highlight w:val="none"/>
        </w:rPr>
        <w:t>（一）</w:t>
      </w:r>
      <w:r>
        <w:rPr>
          <w:rFonts w:hint="eastAsia" w:eastAsia="仿宋_GB2312"/>
          <w:sz w:val="32"/>
          <w:szCs w:val="32"/>
          <w:highlight w:val="none"/>
        </w:rPr>
        <w:t>申报</w:t>
      </w:r>
      <w:r>
        <w:rPr>
          <w:rFonts w:eastAsia="仿宋_GB2312"/>
          <w:sz w:val="32"/>
          <w:szCs w:val="32"/>
          <w:highlight w:val="none"/>
        </w:rPr>
        <w:t>单位向所在省</w:t>
      </w:r>
      <w:r>
        <w:rPr>
          <w:rFonts w:hint="eastAsia" w:ascii="仿宋_GB2312" w:hAnsi="仿宋_GB2312" w:eastAsia="仿宋_GB2312" w:cs="仿宋_GB2312"/>
          <w:sz w:val="32"/>
          <w:szCs w:val="32"/>
          <w:highlight w:val="none"/>
        </w:rPr>
        <w:t>级（含计划单列市，下同）工业和信息化主管部门、财政厅（局）提出项目申请，项目申请文件须附《2018年绿色制造系统集成项目关键信息确认表》、《2018年绿色制造系统集成项目申报书》（格式见附2）及相关证明材料，《中央对地方专项转移支付绿色制造系统集成项目绩效申报表》（格式见附3），按顺序装订一式5份。项目全部申报文件须附电子版光盘（项目申报书为WORD格式，相关证明材料为PDF格式）。申报单位对所报文</w:t>
      </w:r>
      <w:r>
        <w:rPr>
          <w:rFonts w:eastAsia="仿宋_GB2312"/>
          <w:sz w:val="32"/>
          <w:szCs w:val="32"/>
          <w:highlight w:val="none"/>
        </w:rPr>
        <w:t>件及材料的真实性负全责。</w:t>
      </w:r>
    </w:p>
    <w:p>
      <w:pPr>
        <w:spacing w:line="540" w:lineRule="exact"/>
        <w:ind w:firstLine="640" w:firstLineChars="200"/>
        <w:rPr>
          <w:rFonts w:eastAsia="仿宋_GB2312"/>
          <w:sz w:val="32"/>
          <w:szCs w:val="32"/>
          <w:highlight w:val="none"/>
        </w:rPr>
      </w:pPr>
      <w:r>
        <w:rPr>
          <w:rFonts w:eastAsia="仿宋_GB2312"/>
          <w:sz w:val="32"/>
          <w:szCs w:val="32"/>
          <w:highlight w:val="none"/>
        </w:rPr>
        <w:t>（二）省级工业和信息化主管部门、财政厅（局）对申报项目审核后，须于</w:t>
      </w:r>
      <w:r>
        <w:rPr>
          <w:rFonts w:hint="eastAsia" w:ascii="仿宋_GB2312" w:hAnsi="仿宋_GB2312" w:eastAsia="仿宋_GB2312" w:cs="仿宋_GB2312"/>
          <w:sz w:val="32"/>
          <w:szCs w:val="32"/>
          <w:highlight w:val="none"/>
        </w:rPr>
        <w:t>2018年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前（逾期不受理）联合向工业和信息化部、财政部报送推荐文件（须随附《2018年绿色制造系统集成项目汇总表》，格式见附4），推荐文件须加盖推荐单位公章，一式5份，并随附项目申报材料（各一式5份）。每个省、自治区、直辖市（不含计划单列市）推荐的2018年绿色制造系统集成项目不超过6个（其中绿色设计平台类项目不少于三分之一），新疆生产建设兵团、计划单列市不超过2个。中央企业牵头项目通过项目所在省级工业和信息化主管部门、财政厅（局）申报，申报文件同时抄送工业和信息化部、财政部，不占地方项目申报指标，但1家企业在同一地区不超过1个，同一中央企业集团所属公司作为项目申报单位最多申报3个项目。省</w:t>
      </w:r>
      <w:r>
        <w:rPr>
          <w:rFonts w:hint="eastAsia" w:eastAsia="仿宋_GB2312"/>
          <w:sz w:val="32"/>
          <w:szCs w:val="32"/>
          <w:highlight w:val="none"/>
        </w:rPr>
        <w:t>级工业和信息化主管部门组织申报企业在工业和信息化投资项目管理系统上填报项目信息。</w:t>
      </w:r>
    </w:p>
    <w:p>
      <w:pPr>
        <w:spacing w:line="540" w:lineRule="exact"/>
        <w:ind w:firstLine="640" w:firstLineChars="200"/>
        <w:rPr>
          <w:rFonts w:hint="eastAsia" w:eastAsia="仿宋_GB2312"/>
          <w:sz w:val="32"/>
          <w:szCs w:val="32"/>
          <w:highlight w:val="none"/>
        </w:rPr>
      </w:pPr>
      <w:r>
        <w:rPr>
          <w:rFonts w:eastAsia="仿宋_GB2312"/>
          <w:sz w:val="32"/>
          <w:szCs w:val="32"/>
          <w:highlight w:val="none"/>
        </w:rPr>
        <w:t>（三）工业和信息化部、财政部委托第三方机构组织专家，通过评审择优确定拟支持的绿色制造系统集成项目。</w:t>
      </w:r>
    </w:p>
    <w:p>
      <w:pPr>
        <w:spacing w:line="540" w:lineRule="exact"/>
        <w:ind w:firstLine="640" w:firstLineChars="200"/>
        <w:rPr>
          <w:rFonts w:eastAsia="仿宋_GB2312"/>
          <w:sz w:val="32"/>
          <w:szCs w:val="32"/>
          <w:highlight w:val="none"/>
        </w:rPr>
      </w:pPr>
      <w:r>
        <w:rPr>
          <w:rFonts w:eastAsia="仿宋_GB2312"/>
          <w:sz w:val="32"/>
          <w:szCs w:val="32"/>
          <w:highlight w:val="none"/>
        </w:rPr>
        <w:t>（四）对于工业和信息化部、财政部组织评审选定的拟支持项目，经公示无异议后，下达批复文件。中央财政结合年度</w:t>
      </w:r>
      <w:r>
        <w:rPr>
          <w:rFonts w:eastAsia="仿宋_GB2312"/>
          <w:spacing w:val="-11"/>
          <w:sz w:val="32"/>
          <w:szCs w:val="32"/>
          <w:highlight w:val="none"/>
        </w:rPr>
        <w:t>预算安排、项目总投资等情况确定补助标准，于当年下达启动资金。</w:t>
      </w:r>
    </w:p>
    <w:p>
      <w:pPr>
        <w:spacing w:line="540" w:lineRule="exact"/>
        <w:ind w:firstLine="640" w:firstLineChars="200"/>
        <w:rPr>
          <w:rFonts w:eastAsia="仿宋_GB2312"/>
          <w:sz w:val="32"/>
          <w:szCs w:val="32"/>
          <w:highlight w:val="none"/>
        </w:rPr>
      </w:pPr>
      <w:r>
        <w:rPr>
          <w:rFonts w:eastAsia="仿宋_GB2312"/>
          <w:sz w:val="32"/>
          <w:szCs w:val="32"/>
          <w:highlight w:val="none"/>
        </w:rPr>
        <w:t>（五）联合体按照项目申报书组织实施项目，在实施期满前完成项目任务，向所在省级工业和信息化主管部门、财政厅（局）提出项目验收和后续补助资金申请。省级工业和信息化主管部门、财政厅（局）应在项目实施完成后对照联合体的项目申报书组织考核</w:t>
      </w:r>
      <w:r>
        <w:rPr>
          <w:rFonts w:hint="eastAsia" w:ascii="仿宋_GB2312" w:hAnsi="仿宋_GB2312" w:eastAsia="仿宋_GB2312" w:cs="仿宋_GB2312"/>
          <w:sz w:val="32"/>
          <w:szCs w:val="32"/>
          <w:highlight w:val="none"/>
        </w:rPr>
        <w:t>验收，于2021年2月底</w:t>
      </w:r>
      <w:r>
        <w:rPr>
          <w:rFonts w:eastAsia="仿宋_GB2312"/>
          <w:sz w:val="32"/>
          <w:szCs w:val="32"/>
          <w:highlight w:val="none"/>
        </w:rPr>
        <w:t>前向财政部、工业和信息化部报告考核验收情况，提出后续补助资金申请。</w:t>
      </w:r>
    </w:p>
    <w:p>
      <w:pPr>
        <w:spacing w:line="540" w:lineRule="exact"/>
        <w:ind w:firstLine="640" w:firstLineChars="200"/>
        <w:rPr>
          <w:rFonts w:eastAsia="仿宋_GB2312"/>
          <w:sz w:val="32"/>
          <w:szCs w:val="32"/>
          <w:highlight w:val="none"/>
        </w:rPr>
      </w:pPr>
      <w:r>
        <w:rPr>
          <w:rFonts w:eastAsia="仿宋_GB2312"/>
          <w:sz w:val="32"/>
          <w:szCs w:val="32"/>
          <w:highlight w:val="none"/>
        </w:rPr>
        <w:t>（六）工业和信息化部、财政部将不定期开展项目评估检查，并对地方上报的项目考核验收情况进行抽查。对于通过考核验收及抽查的项目，中央财政下达后续补助资金；对于未通过考核验收及抽查的项目，不再下达后续补助资金，并收回部分直至全部启动资金。</w:t>
      </w:r>
    </w:p>
    <w:p>
      <w:pPr>
        <w:spacing w:line="540" w:lineRule="exact"/>
        <w:ind w:firstLine="605" w:firstLineChars="189"/>
        <w:rPr>
          <w:rFonts w:hint="default" w:eastAsia="黑体"/>
          <w:sz w:val="32"/>
          <w:szCs w:val="32"/>
          <w:highlight w:val="none"/>
        </w:rPr>
      </w:pPr>
      <w:r>
        <w:rPr>
          <w:rFonts w:hint="eastAsia" w:eastAsia="黑体"/>
          <w:sz w:val="32"/>
          <w:szCs w:val="32"/>
          <w:highlight w:val="none"/>
        </w:rPr>
        <w:t>五</w:t>
      </w:r>
      <w:r>
        <w:rPr>
          <w:rFonts w:hint="default" w:eastAsia="黑体"/>
          <w:sz w:val="32"/>
          <w:szCs w:val="32"/>
          <w:highlight w:val="none"/>
        </w:rPr>
        <w:t>、工作要求</w:t>
      </w:r>
    </w:p>
    <w:p>
      <w:pPr>
        <w:spacing w:line="540" w:lineRule="exact"/>
        <w:ind w:firstLine="640" w:firstLineChars="200"/>
        <w:rPr>
          <w:rFonts w:eastAsia="仿宋_GB2312"/>
          <w:sz w:val="32"/>
          <w:szCs w:val="32"/>
          <w:highlight w:val="none"/>
        </w:rPr>
      </w:pPr>
      <w:r>
        <w:rPr>
          <w:rFonts w:eastAsia="仿宋_GB2312"/>
          <w:sz w:val="32"/>
          <w:szCs w:val="32"/>
          <w:highlight w:val="none"/>
        </w:rPr>
        <w:t>（一）省级工业和信息化主管部门、财政厅（局）要高度重视此项工作，积极组织做好申报，并按照职责分工对项目执行、补助资金使用等进行监督，每</w:t>
      </w:r>
      <w:r>
        <w:rPr>
          <w:rFonts w:hint="eastAsia" w:ascii="仿宋_GB2312" w:hAnsi="仿宋_GB2312" w:eastAsia="仿宋_GB2312" w:cs="仿宋_GB2312"/>
          <w:sz w:val="32"/>
          <w:szCs w:val="32"/>
          <w:highlight w:val="none"/>
        </w:rPr>
        <w:t>年12月</w:t>
      </w:r>
      <w:r>
        <w:rPr>
          <w:rFonts w:eastAsia="仿宋_GB2312"/>
          <w:sz w:val="32"/>
          <w:szCs w:val="32"/>
          <w:highlight w:val="none"/>
        </w:rPr>
        <w:t>底前向工业和信息化部、财政部报送项目实施情况。</w:t>
      </w:r>
    </w:p>
    <w:p>
      <w:pPr>
        <w:spacing w:line="540" w:lineRule="exact"/>
        <w:ind w:firstLine="640" w:firstLineChars="200"/>
        <w:rPr>
          <w:rFonts w:eastAsia="仿宋_GB2312"/>
          <w:sz w:val="32"/>
          <w:szCs w:val="32"/>
          <w:highlight w:val="none"/>
        </w:rPr>
      </w:pPr>
      <w:r>
        <w:rPr>
          <w:rFonts w:eastAsia="仿宋_GB2312"/>
          <w:sz w:val="32"/>
          <w:szCs w:val="32"/>
          <w:highlight w:val="none"/>
        </w:rPr>
        <w:t>（二）按照《财政部关于印发〈中央对地方专项转移支付绩效目标管理暂行办法〉的通知》（财预</w:t>
      </w:r>
      <w:r>
        <w:rPr>
          <w:rFonts w:hint="eastAsia" w:ascii="仿宋_GB2312" w:hAnsi="仿宋_GB2312" w:eastAsia="仿宋_GB2312" w:cs="仿宋_GB2312"/>
          <w:sz w:val="32"/>
          <w:szCs w:val="32"/>
          <w:highlight w:val="none"/>
        </w:rPr>
        <w:t>〔2015〕163号）要求，加强预算绩效管理。在申报时明确绩效目标，填写项目绩效目标申报表，随申报文件一并报送。项目实施过程中，省级工业和信息化主管部门、财政厅（局）监督项目绩效完成情况。项目考核验收时，同时组织绩效评价工作，形成项目绩效目标评价报告，并附绩效自评表（格式见附5）</w:t>
      </w:r>
      <w:r>
        <w:rPr>
          <w:rFonts w:eastAsia="仿宋_GB2312"/>
          <w:sz w:val="32"/>
          <w:szCs w:val="32"/>
          <w:highlight w:val="none"/>
        </w:rPr>
        <w:t>，随项目考核验收报告一并报送工业和信息化部、财政部。</w:t>
      </w:r>
    </w:p>
    <w:p>
      <w:pPr>
        <w:spacing w:line="540" w:lineRule="exact"/>
        <w:ind w:firstLine="640" w:firstLineChars="200"/>
        <w:rPr>
          <w:rFonts w:eastAsia="仿宋_GB2312"/>
          <w:sz w:val="32"/>
          <w:szCs w:val="32"/>
          <w:highlight w:val="none"/>
        </w:rPr>
      </w:pPr>
      <w:r>
        <w:rPr>
          <w:rFonts w:eastAsia="仿宋_GB2312"/>
          <w:sz w:val="32"/>
          <w:szCs w:val="32"/>
          <w:highlight w:val="none"/>
        </w:rPr>
        <w:t>（三）项目实施过程中，原则上不对项目总投资、任务目标等进行调整，联合体须按照项目申报书中的内容贯彻实施。如因不可抗力等客观原因确需作调整，</w:t>
      </w:r>
      <w:r>
        <w:rPr>
          <w:rFonts w:hint="eastAsia" w:eastAsia="仿宋_GB2312"/>
          <w:sz w:val="32"/>
          <w:szCs w:val="32"/>
          <w:highlight w:val="none"/>
        </w:rPr>
        <w:t>联合体牵头</w:t>
      </w:r>
      <w:r>
        <w:rPr>
          <w:rFonts w:eastAsia="仿宋_GB2312"/>
          <w:sz w:val="32"/>
          <w:szCs w:val="32"/>
          <w:highlight w:val="none"/>
        </w:rPr>
        <w:t>单位应当向省级工业和信息化主管部门提出项目调整申请。省级工业和信息化主管部门核实并报工业和信息化部审定后作出调整。</w:t>
      </w:r>
    </w:p>
    <w:p>
      <w:pPr>
        <w:spacing w:line="540" w:lineRule="exact"/>
        <w:ind w:firstLine="640" w:firstLineChars="200"/>
        <w:rPr>
          <w:rFonts w:eastAsia="仿宋"/>
          <w:sz w:val="32"/>
          <w:szCs w:val="32"/>
          <w:highlight w:val="none"/>
        </w:rPr>
      </w:pPr>
      <w:r>
        <w:rPr>
          <w:rFonts w:eastAsia="仿宋_GB2312"/>
          <w:sz w:val="32"/>
          <w:szCs w:val="32"/>
          <w:highlight w:val="none"/>
        </w:rPr>
        <w:t>（四）联合体内部须建立完备的项目管理制度，项目牵头单位的行政负责人对项目实施负总责。项目推进过程中，按时向省级工业和信息化主管部门、财政厅（局）报送项目实施进展；项目完工后，及时向省级工业和信息化主管部门、财政厅（局）提出考核验收和后续补助资金申请。</w:t>
      </w:r>
    </w:p>
    <w:p>
      <w:pPr>
        <w:spacing w:line="540" w:lineRule="exact"/>
        <w:ind w:firstLine="640" w:firstLineChars="200"/>
        <w:rPr>
          <w:rFonts w:eastAsia="仿宋_GB2312"/>
          <w:sz w:val="32"/>
          <w:szCs w:val="32"/>
          <w:highlight w:val="none"/>
        </w:rPr>
      </w:pPr>
      <w:r>
        <w:rPr>
          <w:rFonts w:eastAsia="仿宋_GB2312"/>
          <w:sz w:val="32"/>
          <w:szCs w:val="32"/>
          <w:highlight w:val="none"/>
        </w:rPr>
        <w:t>（五）对于经评估检查或考核验收发现项目承担单位擅自调整实施内容或项目发生重大安全事故、环境污染等问题的，进行业内通报，根据国家法律法规有关规定进行处</w:t>
      </w:r>
      <w:r>
        <w:rPr>
          <w:rFonts w:hint="eastAsia" w:ascii="仿宋_GB2312" w:hAnsi="仿宋_GB2312" w:eastAsia="仿宋_GB2312" w:cs="仿宋_GB2312"/>
          <w:sz w:val="32"/>
          <w:szCs w:val="32"/>
          <w:highlight w:val="none"/>
        </w:rPr>
        <w:t>罚，5</w:t>
      </w:r>
      <w:r>
        <w:rPr>
          <w:rFonts w:eastAsia="仿宋_GB2312"/>
          <w:sz w:val="32"/>
          <w:szCs w:val="32"/>
          <w:highlight w:val="none"/>
        </w:rPr>
        <w:t>年内不得再申报绿色制造项目。</w:t>
      </w:r>
    </w:p>
    <w:p>
      <w:pPr>
        <w:spacing w:line="540" w:lineRule="exact"/>
        <w:ind w:firstLine="640" w:firstLineChars="200"/>
        <w:rPr>
          <w:rFonts w:eastAsia="仿宋_GB2312"/>
          <w:sz w:val="32"/>
          <w:szCs w:val="32"/>
          <w:highlight w:val="none"/>
        </w:rPr>
      </w:pPr>
      <w:r>
        <w:rPr>
          <w:rFonts w:eastAsia="仿宋_GB2312"/>
          <w:sz w:val="32"/>
          <w:szCs w:val="32"/>
          <w:highlight w:val="none"/>
        </w:rPr>
        <w:t>联系单位及电话：</w:t>
      </w:r>
    </w:p>
    <w:p>
      <w:pPr>
        <w:spacing w:line="540" w:lineRule="exact"/>
        <w:ind w:firstLine="640" w:firstLineChars="200"/>
        <w:rPr>
          <w:rFonts w:eastAsia="仿宋_GB2312"/>
          <w:sz w:val="32"/>
          <w:szCs w:val="32"/>
          <w:highlight w:val="none"/>
        </w:rPr>
      </w:pPr>
      <w:r>
        <w:rPr>
          <w:rFonts w:eastAsia="仿宋_GB2312"/>
          <w:sz w:val="32"/>
          <w:szCs w:val="32"/>
          <w:highlight w:val="none"/>
        </w:rPr>
        <w:t xml:space="preserve">   工业和信息化部（节能与综合利用司）:</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010-68205366 / 010-68205370　</w:t>
      </w:r>
    </w:p>
    <w:p>
      <w:pPr>
        <w:spacing w:line="540" w:lineRule="exact"/>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财政部</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经济建设司</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010-68552878</w:t>
      </w:r>
    </w:p>
    <w:p>
      <w:pPr>
        <w:spacing w:line="540" w:lineRule="exact"/>
        <w:ind w:firstLine="640" w:firstLineChars="200"/>
        <w:rPr>
          <w:rFonts w:eastAsia="仿宋_GB2312"/>
          <w:sz w:val="32"/>
          <w:szCs w:val="32"/>
          <w:highlight w:val="none"/>
        </w:rPr>
      </w:pPr>
    </w:p>
    <w:p>
      <w:pPr>
        <w:spacing w:line="54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rPr>
        <w:t>附</w:t>
      </w:r>
      <w:r>
        <w:rPr>
          <w:rFonts w:eastAsia="仿宋_GB2312"/>
          <w:sz w:val="32"/>
          <w:szCs w:val="32"/>
          <w:highlight w:val="none"/>
        </w:rPr>
        <w:t>：</w:t>
      </w:r>
      <w:r>
        <w:rPr>
          <w:rFonts w:hint="eastAsia" w:ascii="仿宋_GB2312" w:hAnsi="仿宋_GB2312" w:eastAsia="仿宋_GB2312" w:cs="仿宋_GB2312"/>
          <w:sz w:val="32"/>
          <w:szCs w:val="32"/>
          <w:highlight w:val="none"/>
        </w:rPr>
        <w:t>1.2018年绿色制造系统集成项目指南</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2.2018年绿色制造系统集成项目申报书</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3.中央对地方专项转移支付绿色制造系统集成</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项目绩效申报表</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4.2018年绿色制造系统集成项目汇总表</w:t>
      </w:r>
    </w:p>
    <w:p>
      <w:pPr>
        <w:spacing w:line="540" w:lineRule="exact"/>
        <w:ind w:firstLine="640" w:firstLineChars="200"/>
        <w:rPr>
          <w:rFonts w:eastAsia="仿宋_GB2312"/>
          <w:sz w:val="32"/>
          <w:szCs w:val="32"/>
          <w:highlight w:val="none"/>
        </w:rPr>
      </w:pPr>
      <w:r>
        <w:rPr>
          <w:rFonts w:hint="eastAsia" w:ascii="仿宋_GB2312" w:hAnsi="仿宋_GB2312" w:eastAsia="仿宋_GB2312" w:cs="仿宋_GB2312"/>
          <w:sz w:val="32"/>
          <w:szCs w:val="32"/>
          <w:highlight w:val="none"/>
        </w:rPr>
        <w:t xml:space="preserve">    5.中央对地方专项转移</w:t>
      </w:r>
      <w:r>
        <w:rPr>
          <w:rFonts w:eastAsia="仿宋_GB2312"/>
          <w:sz w:val="32"/>
          <w:szCs w:val="32"/>
          <w:highlight w:val="none"/>
        </w:rPr>
        <w:t>支付绩效自评表</w:t>
      </w:r>
    </w:p>
    <w:p>
      <w:pPr>
        <w:spacing w:line="540" w:lineRule="exact"/>
        <w:rPr>
          <w:rFonts w:eastAsia="仿宋_GB2312"/>
          <w:sz w:val="32"/>
          <w:szCs w:val="32"/>
          <w:highlight w:val="none"/>
        </w:rPr>
      </w:pPr>
      <w:r>
        <w:rPr>
          <w:rFonts w:eastAsia="仿宋_GB2312"/>
          <w:sz w:val="32"/>
          <w:szCs w:val="32"/>
          <w:highlight w:val="none"/>
        </w:rPr>
        <w:br w:type="page"/>
      </w:r>
      <w:r>
        <w:rPr>
          <w:rFonts w:hint="eastAsia" w:ascii="仿宋_GB2312" w:hAnsi="仿宋_GB2312" w:eastAsia="仿宋_GB2312" w:cs="仿宋_GB2312"/>
          <w:sz w:val="32"/>
          <w:szCs w:val="32"/>
          <w:highlight w:val="none"/>
        </w:rPr>
        <w:t>附1</w:t>
      </w:r>
    </w:p>
    <w:p>
      <w:pPr>
        <w:pStyle w:val="3"/>
        <w:spacing w:beforeLines="0" w:afterLines="0" w:line="540" w:lineRule="exact"/>
        <w:jc w:val="center"/>
        <w:rPr>
          <w:rFonts w:hint="eastAsia" w:ascii="黑体" w:hAnsi="黑体" w:eastAsia="黑体" w:cs="黑体"/>
          <w:b w:val="0"/>
          <w:bCs w:val="0"/>
          <w:sz w:val="36"/>
          <w:szCs w:val="36"/>
          <w:highlight w:val="none"/>
        </w:rPr>
      </w:pPr>
      <w:r>
        <w:rPr>
          <w:rFonts w:hint="eastAsia" w:ascii="黑体" w:hAnsi="黑体" w:eastAsia="黑体" w:cs="黑体"/>
          <w:b w:val="0"/>
          <w:bCs w:val="0"/>
          <w:sz w:val="36"/>
          <w:szCs w:val="36"/>
          <w:highlight w:val="none"/>
        </w:rPr>
        <w:t>2018年绿色制造系统集成项目指南</w:t>
      </w:r>
    </w:p>
    <w:p>
      <w:pPr>
        <w:spacing w:line="540" w:lineRule="exact"/>
        <w:ind w:firstLine="605" w:firstLineChars="189"/>
        <w:rPr>
          <w:rFonts w:hint="eastAsia" w:eastAsia="黑体"/>
          <w:sz w:val="32"/>
          <w:szCs w:val="32"/>
          <w:highlight w:val="none"/>
        </w:rPr>
      </w:pPr>
      <w:r>
        <w:rPr>
          <w:rFonts w:hint="eastAsia" w:eastAsia="黑体"/>
          <w:sz w:val="32"/>
          <w:szCs w:val="32"/>
          <w:highlight w:val="none"/>
        </w:rPr>
        <w:t>一、绿色设计平台建设</w:t>
      </w:r>
    </w:p>
    <w:p>
      <w:pPr>
        <w:adjustRightInd w:val="0"/>
        <w:snapToGrid w:val="0"/>
        <w:spacing w:line="560" w:lineRule="exact"/>
        <w:ind w:firstLine="640" w:firstLineChars="200"/>
        <w:rPr>
          <w:rFonts w:hint="eastAsia" w:eastAsia="仿宋_GB2312"/>
          <w:sz w:val="32"/>
          <w:szCs w:val="32"/>
          <w:highlight w:val="none"/>
        </w:rPr>
      </w:pPr>
      <w:r>
        <w:rPr>
          <w:rFonts w:hint="eastAsia" w:eastAsia="仿宋_GB2312"/>
          <w:sz w:val="32"/>
          <w:szCs w:val="32"/>
          <w:highlight w:val="none"/>
        </w:rPr>
        <w:t>在</w:t>
      </w:r>
      <w:r>
        <w:rPr>
          <w:rFonts w:eastAsia="仿宋_GB2312"/>
          <w:sz w:val="32"/>
          <w:szCs w:val="32"/>
          <w:highlight w:val="none"/>
        </w:rPr>
        <w:t>机械、电子、化工、食品、纺织、家电、大型成套装备等行业遴选一批</w:t>
      </w:r>
      <w:r>
        <w:rPr>
          <w:rFonts w:hint="eastAsia" w:eastAsia="仿宋_GB2312"/>
          <w:sz w:val="32"/>
          <w:szCs w:val="32"/>
          <w:highlight w:val="none"/>
        </w:rPr>
        <w:t>科技创新能力强、产品</w:t>
      </w:r>
      <w:r>
        <w:rPr>
          <w:rFonts w:eastAsia="仿宋_GB2312"/>
          <w:sz w:val="32"/>
          <w:szCs w:val="32"/>
          <w:highlight w:val="none"/>
        </w:rPr>
        <w:t>特色鲜明、管理规范、业绩突出的行业龙头企业作为牵头单位，与相关企业、</w:t>
      </w:r>
      <w:r>
        <w:rPr>
          <w:rFonts w:hint="eastAsia" w:eastAsia="仿宋_GB2312"/>
          <w:sz w:val="32"/>
          <w:szCs w:val="32"/>
          <w:highlight w:val="none"/>
        </w:rPr>
        <w:t>中介机构、</w:t>
      </w:r>
      <w:r>
        <w:rPr>
          <w:rFonts w:eastAsia="仿宋_GB2312"/>
          <w:sz w:val="32"/>
          <w:szCs w:val="32"/>
          <w:highlight w:val="none"/>
        </w:rPr>
        <w:t>科研机构等组建联合体</w:t>
      </w:r>
      <w:r>
        <w:rPr>
          <w:rFonts w:hint="eastAsia" w:eastAsia="仿宋_GB2312"/>
          <w:sz w:val="32"/>
          <w:szCs w:val="32"/>
          <w:highlight w:val="none"/>
        </w:rPr>
        <w:t>。</w:t>
      </w:r>
      <w:r>
        <w:rPr>
          <w:rFonts w:eastAsia="仿宋_GB2312"/>
          <w:sz w:val="32"/>
          <w:szCs w:val="32"/>
          <w:highlight w:val="none"/>
        </w:rPr>
        <w:t>通过在产品设计开发、原料选择、生产工艺验证、包装优化、回收利用等多个环节的实践，构建产品全生命周期管理的绿色设计平台，</w:t>
      </w:r>
      <w:r>
        <w:rPr>
          <w:rFonts w:hint="eastAsia" w:eastAsia="仿宋_GB2312"/>
          <w:sz w:val="32"/>
          <w:szCs w:val="32"/>
          <w:highlight w:val="none"/>
        </w:rPr>
        <w:t>对能量流、物质流进行精益化绿色管理，</w:t>
      </w:r>
      <w:r>
        <w:rPr>
          <w:rFonts w:eastAsia="仿宋_GB2312"/>
          <w:sz w:val="32"/>
          <w:szCs w:val="32"/>
          <w:highlight w:val="none"/>
        </w:rPr>
        <w:t>通过产品绿色设计升级拉动绿色设计和绿色工艺技术一体化提升，共同开发一批绿色化特征鲜明、</w:t>
      </w:r>
      <w:r>
        <w:rPr>
          <w:rFonts w:hint="eastAsia" w:eastAsia="仿宋_GB2312"/>
          <w:sz w:val="32"/>
          <w:szCs w:val="32"/>
          <w:highlight w:val="none"/>
        </w:rPr>
        <w:t>相对于</w:t>
      </w:r>
      <w:r>
        <w:rPr>
          <w:rFonts w:eastAsia="仿宋_GB2312"/>
          <w:sz w:val="32"/>
          <w:szCs w:val="32"/>
          <w:highlight w:val="none"/>
        </w:rPr>
        <w:t>传统产品提升显著的产品，创建一批绿色设计示范线和产品验证生产设施，建成具有行业代表性的绿色设计信息数据库、绿色设计评价工具和平台等。</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鼓励进行具有绿色、健康、舒适、耐用等性能的绿色设计产品开发和改进，改善原材料、零部件绿色低碳属性，推进产品结构优化设计、产品功能组合与优化设计、生产过程能源节约和资源节约，提升产品的可靠性和绿色性能，使其易于维护和维修、使用便利、易于回收利用。</w:t>
      </w:r>
    </w:p>
    <w:p>
      <w:pPr>
        <w:adjustRightInd w:val="0"/>
        <w:snapToGrid w:val="0"/>
        <w:spacing w:line="560" w:lineRule="exact"/>
        <w:ind w:firstLine="640" w:firstLineChars="200"/>
        <w:rPr>
          <w:rFonts w:hint="eastAsia" w:eastAsia="仿宋_GB2312"/>
          <w:sz w:val="32"/>
          <w:szCs w:val="32"/>
          <w:highlight w:val="none"/>
        </w:rPr>
      </w:pPr>
      <w:r>
        <w:rPr>
          <w:rFonts w:hint="eastAsia" w:ascii="仿宋_GB2312" w:hAnsi="仿宋_GB2312" w:eastAsia="仿宋_GB2312" w:cs="仿宋_GB2312"/>
          <w:sz w:val="32"/>
          <w:szCs w:val="32"/>
          <w:highlight w:val="none"/>
        </w:rPr>
        <w:t>2.鼓励</w:t>
      </w:r>
      <w:r>
        <w:rPr>
          <w:rFonts w:eastAsia="仿宋_GB2312"/>
          <w:sz w:val="32"/>
          <w:szCs w:val="32"/>
          <w:highlight w:val="none"/>
        </w:rPr>
        <w:t>充分考虑下游生产、使用、回收利用等环节资源环境影响，</w:t>
      </w:r>
      <w:r>
        <w:rPr>
          <w:rFonts w:hint="eastAsia" w:ascii="仿宋_GB2312" w:hAnsi="仿宋_GB2312" w:eastAsia="仿宋_GB2312" w:cs="仿宋_GB2312"/>
          <w:sz w:val="32"/>
          <w:szCs w:val="32"/>
          <w:highlight w:val="none"/>
        </w:rPr>
        <w:t>持续开发和使用低毒低害、无毒无害的绿色原料和助剂，推广高性能、轻量化、环保健康新材料，</w:t>
      </w:r>
      <w:r>
        <w:rPr>
          <w:rFonts w:eastAsia="仿宋_GB2312"/>
          <w:sz w:val="32"/>
          <w:szCs w:val="32"/>
          <w:highlight w:val="none"/>
        </w:rPr>
        <w:t>突破绿色原料选择、创新设计和应用技术。</w:t>
      </w:r>
    </w:p>
    <w:p>
      <w:pPr>
        <w:adjustRightInd w:val="0"/>
        <w:snapToGrid w:val="0"/>
        <w:spacing w:line="560" w:lineRule="exact"/>
        <w:ind w:firstLine="640" w:firstLineChars="200"/>
        <w:rPr>
          <w:rFonts w:hint="eastAsia" w:eastAsia="仿宋_GB2312"/>
          <w:sz w:val="32"/>
          <w:szCs w:val="32"/>
          <w:highlight w:val="none"/>
        </w:rPr>
      </w:pPr>
      <w:r>
        <w:rPr>
          <w:rFonts w:hint="eastAsia" w:ascii="仿宋_GB2312" w:hAnsi="仿宋_GB2312" w:eastAsia="仿宋_GB2312" w:cs="仿宋_GB2312"/>
          <w:sz w:val="32"/>
          <w:szCs w:val="32"/>
          <w:highlight w:val="none"/>
        </w:rPr>
        <w:t>3.鼓励绿色设计与制造一体化关键技术突破，创建绿色设计技术产</w:t>
      </w:r>
      <w:r>
        <w:rPr>
          <w:rFonts w:eastAsia="仿宋_GB2312"/>
          <w:sz w:val="32"/>
          <w:szCs w:val="32"/>
          <w:highlight w:val="none"/>
        </w:rPr>
        <w:t>业化示范线，开展绿色设计方案的验证与优化，不断提升产品绿色制造水平。</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鼓励开展产品包装减量化、可循环利用设计及材料替代，推进包装减量化，采用便于运输、装卸、搬运的设计，提升包装材料的回收和重复利用率，选择低能耗、低污染、低排放要求的新型绿色包装，减少包装废弃物的产生。</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5.鼓励开发面向产品绿色设计和改进的生命周期数据库和评价工具，应用生命周期评价方法（LCA）优化原料选择、产品设计和制造方案，构建产品全生命周期管理和评价体系。</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6.支持建立产品绿色设计与评价标准体系，加快推进绿色设计产品评价标准制定，培育一批绿色设计产品。</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eastAsia="仿宋_GB2312"/>
          <w:sz w:val="32"/>
          <w:szCs w:val="32"/>
          <w:highlight w:val="none"/>
        </w:rPr>
        <w:t>通过绿色设计平台建设，</w:t>
      </w:r>
      <w:r>
        <w:rPr>
          <w:rFonts w:eastAsia="仿宋_GB2312"/>
          <w:sz w:val="32"/>
          <w:szCs w:val="32"/>
          <w:highlight w:val="none"/>
        </w:rPr>
        <w:t>在联合体内实现绿色设计资源共建共享，</w:t>
      </w:r>
      <w:r>
        <w:rPr>
          <w:rFonts w:hint="eastAsia" w:eastAsia="仿宋_GB2312"/>
          <w:sz w:val="32"/>
          <w:szCs w:val="32"/>
          <w:highlight w:val="none"/>
        </w:rPr>
        <w:t>出台</w:t>
      </w:r>
      <w:r>
        <w:rPr>
          <w:rFonts w:eastAsia="仿宋_GB2312"/>
          <w:sz w:val="32"/>
          <w:szCs w:val="32"/>
          <w:highlight w:val="none"/>
        </w:rPr>
        <w:t>一批绿色设计标准，大幅提升绿色产品占比。面向相关行业和领域，分享绿色设计资源，提供绿色设计服务，引领行业提升绿色设计</w:t>
      </w:r>
      <w:r>
        <w:rPr>
          <w:rFonts w:hint="eastAsia" w:eastAsia="仿宋_GB2312"/>
          <w:sz w:val="32"/>
          <w:szCs w:val="32"/>
          <w:highlight w:val="none"/>
        </w:rPr>
        <w:t>能力</w:t>
      </w:r>
      <w:r>
        <w:rPr>
          <w:rFonts w:eastAsia="仿宋_GB2312"/>
          <w:sz w:val="32"/>
          <w:szCs w:val="32"/>
          <w:highlight w:val="none"/>
        </w:rPr>
        <w:t>和产品绿色化水平</w:t>
      </w:r>
      <w:r>
        <w:rPr>
          <w:rFonts w:hint="eastAsia" w:eastAsia="仿宋_GB2312"/>
          <w:sz w:val="32"/>
          <w:szCs w:val="32"/>
          <w:highlight w:val="none"/>
        </w:rPr>
        <w:t>，</w:t>
      </w:r>
      <w:r>
        <w:rPr>
          <w:rFonts w:eastAsia="仿宋_GB2312"/>
          <w:sz w:val="32"/>
          <w:szCs w:val="32"/>
          <w:highlight w:val="none"/>
        </w:rPr>
        <w:t>提高绿色精益生产能力和产品国际竞争力。</w:t>
      </w:r>
    </w:p>
    <w:p>
      <w:pPr>
        <w:spacing w:line="540" w:lineRule="exact"/>
        <w:ind w:firstLine="605" w:firstLineChars="189"/>
        <w:rPr>
          <w:rFonts w:hint="eastAsia" w:eastAsia="黑体"/>
          <w:sz w:val="32"/>
          <w:szCs w:val="32"/>
          <w:highlight w:val="none"/>
        </w:rPr>
      </w:pPr>
      <w:r>
        <w:rPr>
          <w:rFonts w:hint="eastAsia" w:eastAsia="黑体"/>
          <w:sz w:val="32"/>
          <w:szCs w:val="32"/>
          <w:highlight w:val="none"/>
        </w:rPr>
        <w:t>二、绿色关键工艺突破</w:t>
      </w:r>
    </w:p>
    <w:p>
      <w:pPr>
        <w:adjustRightInd w:val="0"/>
        <w:snapToGrid w:val="0"/>
        <w:spacing w:line="560" w:lineRule="exact"/>
        <w:ind w:firstLine="642"/>
        <w:rPr>
          <w:rFonts w:hint="eastAsia" w:eastAsia="仿宋_GB2312"/>
          <w:sz w:val="32"/>
          <w:szCs w:val="32"/>
          <w:highlight w:val="none"/>
        </w:rPr>
      </w:pPr>
      <w:r>
        <w:rPr>
          <w:rFonts w:eastAsia="仿宋_GB2312"/>
          <w:sz w:val="32"/>
          <w:szCs w:val="32"/>
          <w:highlight w:val="none"/>
        </w:rPr>
        <w:t>由行业龙头企业作为牵头单位，与上下游企业、生产制造单位、</w:t>
      </w:r>
      <w:r>
        <w:rPr>
          <w:rFonts w:hint="eastAsia" w:eastAsia="仿宋_GB2312"/>
          <w:sz w:val="32"/>
          <w:szCs w:val="32"/>
          <w:highlight w:val="none"/>
        </w:rPr>
        <w:t>中介</w:t>
      </w:r>
      <w:r>
        <w:rPr>
          <w:rFonts w:eastAsia="仿宋_GB2312"/>
          <w:sz w:val="32"/>
          <w:szCs w:val="32"/>
          <w:highlight w:val="none"/>
        </w:rPr>
        <w:t>机构、科研</w:t>
      </w:r>
      <w:r>
        <w:rPr>
          <w:rFonts w:hint="eastAsia" w:eastAsia="仿宋_GB2312"/>
          <w:sz w:val="32"/>
          <w:szCs w:val="32"/>
          <w:highlight w:val="none"/>
        </w:rPr>
        <w:t>院所</w:t>
      </w:r>
      <w:r>
        <w:rPr>
          <w:rFonts w:eastAsia="仿宋_GB2312"/>
          <w:sz w:val="32"/>
          <w:szCs w:val="32"/>
          <w:highlight w:val="none"/>
        </w:rPr>
        <w:t>等</w:t>
      </w:r>
      <w:r>
        <w:rPr>
          <w:rFonts w:hint="eastAsia" w:eastAsia="仿宋_GB2312"/>
          <w:sz w:val="32"/>
          <w:szCs w:val="32"/>
          <w:highlight w:val="none"/>
        </w:rPr>
        <w:t>组建</w:t>
      </w:r>
      <w:r>
        <w:rPr>
          <w:rFonts w:eastAsia="仿宋_GB2312"/>
          <w:sz w:val="32"/>
          <w:szCs w:val="32"/>
          <w:highlight w:val="none"/>
        </w:rPr>
        <w:t>联合体</w:t>
      </w:r>
      <w:r>
        <w:rPr>
          <w:rFonts w:hint="eastAsia" w:eastAsia="仿宋_GB2312"/>
          <w:sz w:val="32"/>
          <w:szCs w:val="32"/>
          <w:highlight w:val="none"/>
        </w:rPr>
        <w:t>。</w:t>
      </w:r>
      <w:r>
        <w:rPr>
          <w:rFonts w:eastAsia="仿宋_GB2312"/>
          <w:sz w:val="32"/>
          <w:szCs w:val="32"/>
          <w:highlight w:val="none"/>
        </w:rPr>
        <w:t>加大创新、推广应用力度，在实施覆盖全部工艺流程和工序环节的绿色化改造升级的同时，进一步聚焦高技术含量、高可靠性要求、高附加值特性或服务支撑多行业、多领域的</w:t>
      </w:r>
      <w:r>
        <w:rPr>
          <w:rFonts w:hint="eastAsia" w:eastAsia="仿宋_GB2312"/>
          <w:sz w:val="32"/>
          <w:szCs w:val="32"/>
          <w:highlight w:val="none"/>
        </w:rPr>
        <w:t>绿色</w:t>
      </w:r>
      <w:r>
        <w:rPr>
          <w:rFonts w:eastAsia="仿宋_GB2312"/>
          <w:sz w:val="32"/>
          <w:szCs w:val="32"/>
          <w:highlight w:val="none"/>
        </w:rPr>
        <w:t>关键工艺技术或核心共性装备、材料等，开展绿色制造关键工艺技术装备的创新突破、集成应用和体系化推广</w:t>
      </w:r>
      <w:r>
        <w:rPr>
          <w:rFonts w:hint="eastAsia" w:eastAsia="仿宋_GB2312"/>
          <w:sz w:val="32"/>
          <w:szCs w:val="32"/>
          <w:highlight w:val="none"/>
        </w:rPr>
        <w:t>，</w:t>
      </w:r>
      <w:r>
        <w:rPr>
          <w:rFonts w:eastAsia="仿宋_GB2312"/>
          <w:sz w:val="32"/>
          <w:szCs w:val="32"/>
          <w:highlight w:val="none"/>
        </w:rPr>
        <w:t>实施一批绿色制造关键工艺技术装备产业化重点项目</w:t>
      </w:r>
      <w:r>
        <w:rPr>
          <w:rFonts w:hint="eastAsia" w:eastAsia="仿宋_GB2312"/>
          <w:sz w:val="32"/>
          <w:szCs w:val="32"/>
          <w:highlight w:val="none"/>
        </w:rPr>
        <w:t>，</w:t>
      </w:r>
      <w:r>
        <w:rPr>
          <w:rFonts w:eastAsia="仿宋_GB2312"/>
          <w:sz w:val="32"/>
          <w:szCs w:val="32"/>
          <w:highlight w:val="none"/>
        </w:rPr>
        <w:t>解决关键工艺流程或工序环节绿色化程度不高的问题</w:t>
      </w:r>
      <w:r>
        <w:rPr>
          <w:rFonts w:hint="eastAsia" w:eastAsia="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鼓励跨行业跨领域绿色关键工艺和材料的突破与应用，支持采用资源高效循环利用、减废减排效果明显的绿色关键共性工艺技术，鼓励集成应用先进高效的</w:t>
      </w:r>
      <w:r>
        <w:rPr>
          <w:rFonts w:ascii="仿宋_GB2312" w:hAnsi="仿宋_GB2312" w:eastAsia="仿宋_GB2312" w:cs="仿宋_GB2312"/>
          <w:sz w:val="32"/>
          <w:szCs w:val="32"/>
          <w:highlight w:val="none"/>
        </w:rPr>
        <w:t>节能</w:t>
      </w:r>
      <w:r>
        <w:rPr>
          <w:rFonts w:hint="eastAsia" w:ascii="仿宋_GB2312" w:hAnsi="仿宋_GB2312" w:eastAsia="仿宋_GB2312" w:cs="仿宋_GB2312"/>
          <w:sz w:val="32"/>
          <w:szCs w:val="32"/>
          <w:highlight w:val="none"/>
        </w:rPr>
        <w:t>环保技术装备进行绿色化工艺改造</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制定一批绿色关键技术标准，提升重大装备自主保障能力。支持联合体统筹实施绿色制造重点项目，开展全流程、全工序绿色化改造，既解决关键工艺流程或工序环节绿色化程度不高问题，又实现系统化、集成化绿色升级。</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机械</w:t>
      </w:r>
      <w:r>
        <w:rPr>
          <w:rFonts w:hint="eastAsia" w:eastAsia="仿宋_GB2312"/>
          <w:sz w:val="32"/>
          <w:szCs w:val="32"/>
          <w:highlight w:val="none"/>
        </w:rPr>
        <w:t>行业：</w:t>
      </w:r>
      <w:r>
        <w:rPr>
          <w:rFonts w:hint="eastAsia" w:ascii="仿宋_GB2312" w:hAnsi="仿宋_GB2312" w:eastAsia="仿宋_GB2312" w:cs="仿宋_GB2312"/>
          <w:sz w:val="32"/>
          <w:szCs w:val="32"/>
          <w:highlight w:val="none"/>
        </w:rPr>
        <w:t>支持绿色化铸锻焊成形制造基础工艺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支持通过无模铸造、清洁锻压、以锻代铸、近净成型、绿色焊接、无害化表面处理、清洁热处理、少无切削液绿色加工、</w:t>
      </w:r>
      <w:r>
        <w:rPr>
          <w:rFonts w:hint="eastAsia" w:ascii="仿宋_GB2312" w:hAnsi="仿宋_GB2312" w:eastAsia="仿宋_GB2312" w:cs="仿宋_GB2312"/>
          <w:sz w:val="32"/>
          <w:szCs w:val="32"/>
          <w:highlight w:val="none"/>
          <w:lang w:eastAsia="zh-CN"/>
        </w:rPr>
        <w:t>无损检测、</w:t>
      </w:r>
      <w:r>
        <w:rPr>
          <w:rFonts w:eastAsia="仿宋_GB2312"/>
          <w:sz w:val="32"/>
          <w:szCs w:val="32"/>
          <w:highlight w:val="none"/>
        </w:rPr>
        <w:t>增材制造</w:t>
      </w:r>
      <w:r>
        <w:rPr>
          <w:rFonts w:hint="eastAsia" w:eastAsia="仿宋_GB2312"/>
          <w:sz w:val="32"/>
          <w:szCs w:val="32"/>
          <w:highlight w:val="none"/>
        </w:rPr>
        <w:t>等绿色制造关键工艺技术和装备的创新和集成应用</w:t>
      </w:r>
      <w:r>
        <w:rPr>
          <w:rFonts w:hint="eastAsia" w:eastAsia="仿宋_GB2312"/>
          <w:sz w:val="32"/>
          <w:szCs w:val="32"/>
          <w:highlight w:val="none"/>
          <w:lang w:eastAsia="zh-CN"/>
        </w:rPr>
        <w:t>，支持高效节能电机、变压器、风机等节能设备产业化及应用</w:t>
      </w:r>
      <w:r>
        <w:rPr>
          <w:rFonts w:hint="eastAsia" w:eastAsia="仿宋_GB2312"/>
          <w:sz w:val="32"/>
          <w:szCs w:val="32"/>
          <w:highlight w:val="none"/>
        </w:rPr>
        <w:t>，</w:t>
      </w:r>
      <w:r>
        <w:rPr>
          <w:rFonts w:eastAsia="仿宋_GB2312"/>
          <w:sz w:val="32"/>
          <w:szCs w:val="32"/>
          <w:highlight w:val="none"/>
        </w:rPr>
        <w:t>支持与新品设计制造形成有效反哺互动机制的</w:t>
      </w:r>
      <w:r>
        <w:rPr>
          <w:rFonts w:hint="eastAsia" w:eastAsia="仿宋_GB2312"/>
          <w:sz w:val="32"/>
          <w:szCs w:val="32"/>
          <w:highlight w:val="none"/>
        </w:rPr>
        <w:t>高端智能再制造</w:t>
      </w:r>
      <w:r>
        <w:rPr>
          <w:rFonts w:eastAsia="仿宋_GB2312"/>
          <w:sz w:val="32"/>
          <w:szCs w:val="32"/>
          <w:highlight w:val="none"/>
        </w:rPr>
        <w:t>技术应用</w:t>
      </w:r>
      <w:r>
        <w:rPr>
          <w:rFonts w:hint="eastAsia" w:eastAsia="仿宋_GB2312"/>
          <w:sz w:val="32"/>
          <w:szCs w:val="32"/>
          <w:highlight w:val="none"/>
        </w:rPr>
        <w:t>及服务</w:t>
      </w:r>
      <w:r>
        <w:rPr>
          <w:rFonts w:hint="eastAsia" w:eastAsia="仿宋_GB2312"/>
          <w:sz w:val="32"/>
          <w:szCs w:val="32"/>
          <w:highlight w:val="none"/>
          <w:lang w:eastAsia="zh-CN"/>
        </w:rPr>
        <w:t>等</w:t>
      </w:r>
      <w:r>
        <w:rPr>
          <w:rFonts w:ascii="仿宋_GB2312" w:hAnsi="仿宋_GB2312" w:eastAsia="仿宋_GB2312" w:cs="仿宋_GB2312"/>
          <w:sz w:val="32"/>
          <w:szCs w:val="32"/>
          <w:highlight w:val="none"/>
        </w:rPr>
        <w:t>。</w:t>
      </w:r>
    </w:p>
    <w:p>
      <w:pPr>
        <w:widowControl w:val="0"/>
        <w:numPr>
          <w:numId w:val="0"/>
        </w:numPr>
        <w:wordWrap/>
        <w:adjustRightInd w:val="0"/>
        <w:snapToGrid w:val="0"/>
        <w:spacing w:line="560" w:lineRule="exact"/>
        <w:ind w:left="0" w:leftChars="0" w:right="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ascii="仿宋_GB2312" w:hAnsi="仿宋_GB2312" w:eastAsia="仿宋_GB2312" w:cs="仿宋_GB2312"/>
          <w:sz w:val="32"/>
          <w:szCs w:val="32"/>
          <w:highlight w:val="none"/>
        </w:rPr>
        <w:t>电子</w:t>
      </w:r>
      <w:r>
        <w:rPr>
          <w:rFonts w:hint="eastAsia" w:ascii="仿宋_GB2312" w:hAnsi="仿宋_GB2312" w:eastAsia="仿宋_GB2312" w:cs="仿宋_GB2312"/>
          <w:sz w:val="32"/>
          <w:szCs w:val="32"/>
          <w:highlight w:val="none"/>
        </w:rPr>
        <w:t>行业：支持有毒有害物质减量、替代等绿色关键工艺技术突破</w:t>
      </w:r>
      <w:r>
        <w:rPr>
          <w:rFonts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rPr>
        <w:t>液冷服务器</w:t>
      </w:r>
      <w:r>
        <w:rPr>
          <w:rFonts w:hint="eastAsia" w:ascii="仿宋_GB2312" w:hAnsi="仿宋_GB2312" w:eastAsia="仿宋_GB2312" w:cs="仿宋_GB2312"/>
          <w:sz w:val="32"/>
          <w:szCs w:val="32"/>
          <w:highlight w:val="none"/>
          <w:lang w:eastAsia="zh-CN"/>
        </w:rPr>
        <w:t>绿色</w:t>
      </w:r>
      <w:r>
        <w:rPr>
          <w:rFonts w:ascii="仿宋_GB2312" w:hAnsi="仿宋_GB2312" w:eastAsia="仿宋_GB2312" w:cs="仿宋_GB2312"/>
          <w:sz w:val="32"/>
          <w:szCs w:val="32"/>
          <w:highlight w:val="none"/>
        </w:rPr>
        <w:t>制造</w:t>
      </w:r>
      <w:r>
        <w:rPr>
          <w:rFonts w:hint="eastAsia" w:ascii="仿宋_GB2312" w:hAnsi="仿宋_GB2312" w:eastAsia="仿宋_GB2312" w:cs="仿宋_GB2312"/>
          <w:sz w:val="32"/>
          <w:szCs w:val="32"/>
          <w:highlight w:val="none"/>
        </w:rPr>
        <w:t>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绿色</w:t>
      </w:r>
      <w:r>
        <w:rPr>
          <w:rFonts w:hint="eastAsia" w:ascii="仿宋_GB2312" w:hAnsi="仿宋_GB2312" w:eastAsia="仿宋_GB2312" w:cs="仿宋_GB2312"/>
          <w:sz w:val="32"/>
          <w:szCs w:val="32"/>
          <w:highlight w:val="none"/>
        </w:rPr>
        <w:t>电池</w:t>
      </w:r>
      <w:r>
        <w:rPr>
          <w:rFonts w:hint="eastAsia" w:ascii="仿宋_GB2312" w:hAnsi="仿宋_GB2312" w:eastAsia="仿宋_GB2312" w:cs="仿宋_GB2312"/>
          <w:sz w:val="32"/>
          <w:szCs w:val="32"/>
          <w:highlight w:val="none"/>
          <w:lang w:eastAsia="zh-CN"/>
        </w:rPr>
        <w:t>制造</w:t>
      </w:r>
      <w:r>
        <w:rPr>
          <w:rFonts w:hint="eastAsia" w:ascii="仿宋_GB2312" w:hAnsi="仿宋_GB2312" w:eastAsia="仿宋_GB2312" w:cs="仿宋_GB2312"/>
          <w:sz w:val="32"/>
          <w:szCs w:val="32"/>
          <w:highlight w:val="none"/>
        </w:rPr>
        <w:t>关键工艺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动力蓄电池梯级利用及回收利用技术工艺产业化应用、</w:t>
      </w:r>
      <w:r>
        <w:rPr>
          <w:rFonts w:hint="eastAsia" w:ascii="仿宋_GB2312" w:hAnsi="仿宋_GB2312" w:eastAsia="仿宋_GB2312" w:cs="仿宋_GB2312"/>
          <w:sz w:val="32"/>
          <w:szCs w:val="32"/>
          <w:highlight w:val="none"/>
        </w:rPr>
        <w:t>电子元器件</w:t>
      </w:r>
      <w:r>
        <w:rPr>
          <w:rFonts w:hint="eastAsia" w:ascii="仿宋_GB2312" w:hAnsi="仿宋_GB2312" w:eastAsia="仿宋_GB2312" w:cs="仿宋_GB2312"/>
          <w:sz w:val="32"/>
          <w:szCs w:val="32"/>
          <w:highlight w:val="none"/>
          <w:lang w:eastAsia="zh-CN"/>
        </w:rPr>
        <w:t>及电子专用材料</w:t>
      </w:r>
      <w:r>
        <w:rPr>
          <w:rFonts w:hint="eastAsia" w:ascii="仿宋_GB2312" w:hAnsi="仿宋_GB2312" w:eastAsia="仿宋_GB2312" w:cs="仿宋_GB2312"/>
          <w:sz w:val="32"/>
          <w:szCs w:val="32"/>
          <w:highlight w:val="none"/>
        </w:rPr>
        <w:t>绿色制造关键技术与设备</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基于智能光伏的绿色制造关键工艺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高质量电子显示玻璃绿色</w:t>
      </w:r>
      <w:r>
        <w:rPr>
          <w:rFonts w:hint="eastAsia" w:ascii="仿宋_GB2312" w:hAnsi="仿宋_GB2312" w:eastAsia="仿宋_GB2312" w:cs="仿宋_GB2312"/>
          <w:sz w:val="32"/>
          <w:szCs w:val="32"/>
          <w:highlight w:val="none"/>
          <w:lang w:eastAsia="zh-CN"/>
        </w:rPr>
        <w:t>制造</w:t>
      </w:r>
      <w:r>
        <w:rPr>
          <w:rFonts w:hint="eastAsia" w:ascii="仿宋_GB2312" w:hAnsi="仿宋_GB2312" w:eastAsia="仿宋_GB2312" w:cs="仿宋_GB2312"/>
          <w:sz w:val="32"/>
          <w:szCs w:val="32"/>
          <w:highlight w:val="none"/>
        </w:rPr>
        <w:t>关键工艺</w:t>
      </w:r>
      <w:r>
        <w:rPr>
          <w:rFonts w:ascii="仿宋_GB2312" w:hAnsi="仿宋_GB2312" w:eastAsia="仿宋_GB2312" w:cs="仿宋_GB2312"/>
          <w:sz w:val="32"/>
          <w:szCs w:val="32"/>
          <w:highlight w:val="none"/>
        </w:rPr>
        <w:t>等。</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化工行业：</w:t>
      </w:r>
      <w:r>
        <w:rPr>
          <w:rFonts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rPr>
        <w:t>副产盐、重质劣质油等资源化利用</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农药、染料等化工生产的关键绿色生产工艺</w:t>
      </w:r>
      <w:r>
        <w:rPr>
          <w:rFonts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rPr>
        <w:t>，化学原料药绿色合成和分离技术</w:t>
      </w:r>
      <w:r>
        <w:rPr>
          <w:rFonts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rPr>
        <w:t>绿色环保生物基增塑剂产业化及其应用、高性能固化剂绿色制造工艺</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绿色催化剂关键技术</w:t>
      </w:r>
      <w:r>
        <w:rPr>
          <w:rFonts w:ascii="仿宋_GB2312" w:hAnsi="仿宋_GB2312" w:eastAsia="仿宋_GB2312" w:cs="仿宋_GB2312"/>
          <w:sz w:val="32"/>
          <w:szCs w:val="32"/>
          <w:highlight w:val="none"/>
        </w:rPr>
        <w:t>工艺等，支持</w:t>
      </w:r>
      <w:r>
        <w:rPr>
          <w:rFonts w:hint="eastAsia" w:ascii="仿宋_GB2312" w:hAnsi="仿宋_GB2312" w:eastAsia="仿宋_GB2312" w:cs="仿宋_GB2312"/>
          <w:sz w:val="32"/>
          <w:szCs w:val="32"/>
          <w:highlight w:val="none"/>
        </w:rPr>
        <w:t>涂料、橡胶制品等重点行业的挥发性有机物替代或减量化技术</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化工行业废水深度处理及资源化利用技术</w:t>
      </w:r>
      <w:r>
        <w:rPr>
          <w:rFonts w:hint="eastAsia" w:ascii="仿宋_GB2312" w:hAnsi="仿宋_GB2312" w:eastAsia="仿宋_GB2312" w:cs="仿宋_GB2312"/>
          <w:sz w:val="32"/>
          <w:szCs w:val="32"/>
          <w:highlight w:val="none"/>
        </w:rPr>
        <w:t>等</w:t>
      </w:r>
      <w:r>
        <w:rPr>
          <w:rFonts w:ascii="仿宋_GB2312" w:hAnsi="仿宋_GB2312" w:eastAsia="仿宋_GB2312" w:cs="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5.食品</w:t>
      </w:r>
      <w:r>
        <w:rPr>
          <w:rFonts w:hint="eastAsia" w:ascii="仿宋_GB2312" w:hAnsi="仿宋_GB2312" w:eastAsia="仿宋_GB2312" w:cs="仿宋_GB2312"/>
          <w:sz w:val="32"/>
          <w:szCs w:val="32"/>
          <w:highlight w:val="none"/>
        </w:rPr>
        <w:t>行业：</w:t>
      </w:r>
      <w:r>
        <w:rPr>
          <w:rFonts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lang w:eastAsia="zh-CN"/>
        </w:rPr>
        <w:t>乳制品、肉制品、食用糖等食品</w:t>
      </w:r>
      <w:r>
        <w:rPr>
          <w:rFonts w:hint="eastAsia" w:ascii="仿宋_GB2312" w:hAnsi="仿宋_GB2312" w:eastAsia="仿宋_GB2312" w:cs="仿宋_GB2312"/>
          <w:sz w:val="32"/>
          <w:szCs w:val="32"/>
          <w:highlight w:val="none"/>
        </w:rPr>
        <w:t>生产绿色关键技术</w:t>
      </w:r>
      <w:r>
        <w:rPr>
          <w:rFonts w:ascii="仿宋_GB2312" w:hAnsi="仿宋_GB2312" w:eastAsia="仿宋_GB2312" w:cs="仿宋_GB2312"/>
          <w:sz w:val="32"/>
          <w:szCs w:val="32"/>
          <w:highlight w:val="none"/>
        </w:rPr>
        <w:t>突破，</w:t>
      </w:r>
      <w:r>
        <w:rPr>
          <w:rFonts w:hint="eastAsia" w:ascii="仿宋_GB2312" w:hAnsi="仿宋_GB2312" w:eastAsia="仿宋_GB2312" w:cs="仿宋_GB2312"/>
          <w:sz w:val="32"/>
          <w:szCs w:val="32"/>
          <w:highlight w:val="none"/>
        </w:rPr>
        <w:t>支持原料底物高效转化利用、产品高效减污分离与提取、废弃物精深资源化共性工艺技术</w:t>
      </w:r>
      <w:r>
        <w:rPr>
          <w:rFonts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6.纺织</w:t>
      </w:r>
      <w:r>
        <w:rPr>
          <w:rFonts w:hint="eastAsia" w:ascii="仿宋_GB2312" w:hAnsi="仿宋_GB2312" w:eastAsia="仿宋_GB2312" w:cs="仿宋_GB2312"/>
          <w:sz w:val="32"/>
          <w:szCs w:val="32"/>
          <w:highlight w:val="none"/>
        </w:rPr>
        <w:t>行业：支持纺织染整绿色新工艺、大型印染</w:t>
      </w:r>
      <w:r>
        <w:rPr>
          <w:rFonts w:ascii="仿宋_GB2312" w:hAnsi="仿宋_GB2312" w:eastAsia="仿宋_GB2312" w:cs="仿宋_GB2312"/>
          <w:sz w:val="32"/>
          <w:szCs w:val="32"/>
          <w:highlight w:val="none"/>
        </w:rPr>
        <w:t>绿色</w:t>
      </w:r>
      <w:r>
        <w:rPr>
          <w:rFonts w:hint="eastAsia" w:ascii="仿宋_GB2312" w:hAnsi="仿宋_GB2312" w:eastAsia="仿宋_GB2312" w:cs="仿宋_GB2312"/>
          <w:sz w:val="32"/>
          <w:szCs w:val="32"/>
          <w:highlight w:val="none"/>
        </w:rPr>
        <w:t>装备</w:t>
      </w:r>
      <w:r>
        <w:rPr>
          <w:rFonts w:ascii="仿宋_GB2312" w:hAnsi="仿宋_GB2312" w:eastAsia="仿宋_GB2312" w:cs="仿宋_GB2312"/>
          <w:sz w:val="32"/>
          <w:szCs w:val="32"/>
          <w:highlight w:val="none"/>
        </w:rPr>
        <w:t>技术突破</w:t>
      </w:r>
      <w:r>
        <w:rPr>
          <w:rFonts w:hint="eastAsia" w:ascii="仿宋_GB2312" w:hAnsi="仿宋_GB2312" w:eastAsia="仿宋_GB2312" w:cs="仿宋_GB2312"/>
          <w:sz w:val="32"/>
          <w:szCs w:val="32"/>
          <w:highlight w:val="none"/>
        </w:rPr>
        <w:t>、绿色面料生产技术</w:t>
      </w:r>
      <w:r>
        <w:rPr>
          <w:rFonts w:ascii="仿宋_GB2312" w:hAnsi="仿宋_GB2312" w:eastAsia="仿宋_GB2312" w:cs="仿宋_GB2312"/>
          <w:sz w:val="32"/>
          <w:szCs w:val="32"/>
          <w:highlight w:val="none"/>
        </w:rPr>
        <w:t>等，鼓励</w:t>
      </w:r>
      <w:r>
        <w:rPr>
          <w:rFonts w:hint="eastAsia" w:ascii="仿宋_GB2312" w:hAnsi="仿宋_GB2312" w:eastAsia="仿宋_GB2312" w:cs="仿宋_GB2312"/>
          <w:sz w:val="32"/>
          <w:szCs w:val="32"/>
          <w:highlight w:val="none"/>
        </w:rPr>
        <w:t>开展与化工、食品等行业在染料助剂、植物颜料应用</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方面的</w:t>
      </w:r>
      <w:r>
        <w:rPr>
          <w:rFonts w:ascii="仿宋_GB2312" w:hAnsi="仿宋_GB2312" w:eastAsia="仿宋_GB2312" w:cs="仿宋_GB2312"/>
          <w:sz w:val="32"/>
          <w:szCs w:val="32"/>
          <w:highlight w:val="none"/>
        </w:rPr>
        <w:t>绿色技术协同突破</w:t>
      </w:r>
      <w:r>
        <w:rPr>
          <w:rFonts w:hint="eastAsia" w:ascii="仿宋_GB2312" w:hAnsi="仿宋_GB2312" w:eastAsia="仿宋_GB2312" w:cs="仿宋_GB2312"/>
          <w:sz w:val="32"/>
          <w:szCs w:val="32"/>
          <w:highlight w:val="none"/>
        </w:rPr>
        <w:t>。</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7.家电</w:t>
      </w:r>
      <w:r>
        <w:rPr>
          <w:rFonts w:hint="eastAsia" w:ascii="仿宋_GB2312" w:hAnsi="仿宋_GB2312" w:eastAsia="仿宋_GB2312" w:cs="仿宋_GB2312"/>
          <w:sz w:val="32"/>
          <w:szCs w:val="32"/>
          <w:highlight w:val="none"/>
        </w:rPr>
        <w:t>行业：</w:t>
      </w:r>
      <w:r>
        <w:rPr>
          <w:rFonts w:ascii="仿宋_GB2312" w:hAnsi="仿宋_GB2312" w:eastAsia="仿宋_GB2312" w:cs="仿宋_GB2312"/>
          <w:sz w:val="32"/>
          <w:szCs w:val="32"/>
          <w:highlight w:val="none"/>
        </w:rPr>
        <w:t>支持家电产品</w:t>
      </w:r>
      <w:r>
        <w:rPr>
          <w:rFonts w:hint="eastAsia" w:ascii="仿宋_GB2312" w:hAnsi="仿宋_GB2312" w:eastAsia="仿宋_GB2312" w:cs="仿宋_GB2312"/>
          <w:sz w:val="32"/>
          <w:szCs w:val="32"/>
          <w:highlight w:val="none"/>
          <w:lang w:eastAsia="zh-CN"/>
        </w:rPr>
        <w:t>制造环节</w:t>
      </w:r>
      <w:r>
        <w:rPr>
          <w:rFonts w:hint="eastAsia" w:ascii="仿宋_GB2312" w:hAnsi="仿宋_GB2312" w:eastAsia="仿宋_GB2312" w:cs="仿宋_GB2312"/>
          <w:sz w:val="32"/>
          <w:szCs w:val="32"/>
          <w:highlight w:val="none"/>
        </w:rPr>
        <w:t>绿色关键工艺</w:t>
      </w:r>
      <w:r>
        <w:rPr>
          <w:rFonts w:hint="eastAsia" w:ascii="仿宋_GB2312" w:hAnsi="仿宋_GB2312" w:eastAsia="仿宋_GB2312" w:cs="仿宋_GB2312"/>
          <w:sz w:val="32"/>
          <w:szCs w:val="32"/>
          <w:highlight w:val="none"/>
          <w:lang w:eastAsia="zh-CN"/>
        </w:rPr>
        <w:t>突破</w:t>
      </w:r>
      <w:r>
        <w:rPr>
          <w:rFonts w:ascii="仿宋_GB2312" w:hAnsi="仿宋_GB2312" w:eastAsia="仿宋_GB2312" w:cs="仿宋_GB2312"/>
          <w:sz w:val="32"/>
          <w:szCs w:val="32"/>
          <w:highlight w:val="none"/>
        </w:rPr>
        <w:t>、绿色环保制冷剂产品及压缩机开发、照明产品绿色制造关键工艺、</w:t>
      </w:r>
      <w:r>
        <w:rPr>
          <w:rFonts w:hint="eastAsia" w:ascii="仿宋_GB2312" w:hAnsi="仿宋_GB2312" w:eastAsia="仿宋_GB2312" w:cs="仿宋_GB2312"/>
          <w:sz w:val="32"/>
          <w:szCs w:val="32"/>
          <w:highlight w:val="none"/>
        </w:rPr>
        <w:t>空调器绿色制造关键工艺</w:t>
      </w:r>
      <w:r>
        <w:rPr>
          <w:rFonts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rPr>
        <w:t>。</w:t>
      </w:r>
    </w:p>
    <w:p>
      <w:pPr>
        <w:adjustRightInd w:val="0"/>
        <w:snapToGrid w:val="0"/>
        <w:spacing w:line="560" w:lineRule="exact"/>
        <w:ind w:firstLine="642"/>
        <w:rPr>
          <w:rFonts w:eastAsia="仿宋_GB2312"/>
          <w:sz w:val="32"/>
          <w:szCs w:val="32"/>
          <w:highlight w:val="none"/>
        </w:rPr>
      </w:pPr>
      <w:r>
        <w:rPr>
          <w:rFonts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rPr>
        <w:t>大型成套设备：</w:t>
      </w:r>
      <w:r>
        <w:rPr>
          <w:rFonts w:eastAsia="仿宋_GB2312"/>
          <w:sz w:val="32"/>
          <w:szCs w:val="32"/>
          <w:highlight w:val="none"/>
        </w:rPr>
        <w:t>支持</w:t>
      </w:r>
      <w:r>
        <w:rPr>
          <w:rFonts w:hint="eastAsia" w:eastAsia="仿宋_GB2312"/>
          <w:sz w:val="32"/>
          <w:szCs w:val="32"/>
          <w:highlight w:val="none"/>
        </w:rPr>
        <w:t>轨道交通</w:t>
      </w:r>
      <w:r>
        <w:rPr>
          <w:rFonts w:eastAsia="仿宋_GB2312"/>
          <w:sz w:val="32"/>
          <w:szCs w:val="32"/>
          <w:highlight w:val="none"/>
        </w:rPr>
        <w:t>、大型风电装备、</w:t>
      </w:r>
      <w:r>
        <w:rPr>
          <w:rFonts w:hint="eastAsia" w:eastAsia="仿宋_GB2312"/>
          <w:sz w:val="32"/>
          <w:szCs w:val="32"/>
          <w:highlight w:val="none"/>
        </w:rPr>
        <w:t>大型海水淡化及非常规水资源利用、</w:t>
      </w:r>
      <w:r>
        <w:rPr>
          <w:rFonts w:eastAsia="仿宋_GB2312"/>
          <w:sz w:val="32"/>
          <w:szCs w:val="32"/>
          <w:highlight w:val="none"/>
        </w:rPr>
        <w:t>生活垃圾</w:t>
      </w:r>
      <w:r>
        <w:rPr>
          <w:rFonts w:hint="eastAsia" w:eastAsia="仿宋_GB2312"/>
          <w:sz w:val="32"/>
          <w:szCs w:val="32"/>
          <w:highlight w:val="none"/>
        </w:rPr>
        <w:t>协同处理</w:t>
      </w:r>
      <w:r>
        <w:rPr>
          <w:rFonts w:eastAsia="仿宋_GB2312"/>
          <w:sz w:val="32"/>
          <w:szCs w:val="32"/>
          <w:highlight w:val="none"/>
        </w:rPr>
        <w:t>、</w:t>
      </w:r>
      <w:r>
        <w:rPr>
          <w:rFonts w:hint="eastAsia" w:eastAsia="仿宋_GB2312"/>
          <w:sz w:val="32"/>
          <w:szCs w:val="32"/>
          <w:highlight w:val="none"/>
        </w:rPr>
        <w:t>工业固废资源化利用、</w:t>
      </w:r>
      <w:r>
        <w:rPr>
          <w:rFonts w:hint="eastAsia" w:eastAsia="仿宋_GB2312"/>
          <w:sz w:val="32"/>
          <w:szCs w:val="32"/>
          <w:highlight w:val="none"/>
          <w:lang w:eastAsia="zh-CN"/>
        </w:rPr>
        <w:t>大气治理、</w:t>
      </w:r>
      <w:r>
        <w:rPr>
          <w:rFonts w:hint="eastAsia" w:eastAsia="仿宋_GB2312"/>
          <w:sz w:val="32"/>
          <w:szCs w:val="32"/>
          <w:highlight w:val="none"/>
        </w:rPr>
        <w:t>水污染</w:t>
      </w:r>
      <w:r>
        <w:rPr>
          <w:rFonts w:hint="eastAsia" w:eastAsia="仿宋_GB2312"/>
          <w:sz w:val="32"/>
          <w:szCs w:val="32"/>
          <w:highlight w:val="none"/>
          <w:lang w:eastAsia="zh-CN"/>
        </w:rPr>
        <w:t>治理</w:t>
      </w:r>
      <w:r>
        <w:rPr>
          <w:rFonts w:hint="eastAsia" w:eastAsia="仿宋_GB2312"/>
          <w:sz w:val="32"/>
          <w:szCs w:val="32"/>
          <w:highlight w:val="none"/>
        </w:rPr>
        <w:t>、土壤修复</w:t>
      </w:r>
      <w:r>
        <w:rPr>
          <w:rFonts w:eastAsia="仿宋_GB2312"/>
          <w:sz w:val="32"/>
          <w:szCs w:val="32"/>
          <w:highlight w:val="none"/>
        </w:rPr>
        <w:t>、</w:t>
      </w:r>
      <w:r>
        <w:rPr>
          <w:rFonts w:hint="eastAsia" w:eastAsia="仿宋_GB2312"/>
          <w:sz w:val="32"/>
          <w:szCs w:val="32"/>
          <w:highlight w:val="none"/>
          <w:lang w:eastAsia="zh-CN"/>
        </w:rPr>
        <w:t>环境应急处理、</w:t>
      </w:r>
      <w:r>
        <w:rPr>
          <w:rFonts w:eastAsia="仿宋_GB2312"/>
          <w:sz w:val="32"/>
          <w:szCs w:val="32"/>
          <w:highlight w:val="none"/>
        </w:rPr>
        <w:t>分布式能源系统等大型成套设备绿色制造技术工艺</w:t>
      </w:r>
      <w:r>
        <w:rPr>
          <w:rFonts w:hint="eastAsia" w:eastAsia="仿宋_GB2312"/>
          <w:sz w:val="32"/>
          <w:szCs w:val="32"/>
          <w:highlight w:val="none"/>
        </w:rPr>
        <w:t>及产业化应用</w:t>
      </w:r>
      <w:r>
        <w:rPr>
          <w:rFonts w:eastAsia="仿宋_GB2312"/>
          <w:sz w:val="32"/>
          <w:szCs w:val="32"/>
          <w:highlight w:val="none"/>
        </w:rPr>
        <w:t>等。</w:t>
      </w:r>
    </w:p>
    <w:p>
      <w:pPr>
        <w:adjustRightInd w:val="0"/>
        <w:snapToGrid w:val="0"/>
        <w:spacing w:line="560" w:lineRule="exact"/>
        <w:ind w:firstLine="642"/>
        <w:rPr>
          <w:rFonts w:hint="eastAsia" w:eastAsia="仿宋_GB2312"/>
          <w:sz w:val="32"/>
          <w:szCs w:val="32"/>
          <w:highlight w:val="none"/>
        </w:rPr>
      </w:pPr>
      <w:r>
        <w:rPr>
          <w:rFonts w:eastAsia="仿宋_GB2312"/>
          <w:sz w:val="32"/>
          <w:szCs w:val="32"/>
          <w:highlight w:val="none"/>
        </w:rPr>
        <w:t>通过绿色制造关键工艺技术和装备的创新突破和集成应用，带动企业实现覆盖全部工艺流程和供需环节的绿色制造系统集成改造。在绿色制造关键工艺项目实施基础上，提炼制定一批既突出工艺技术</w:t>
      </w:r>
      <w:r>
        <w:rPr>
          <w:rFonts w:hint="eastAsia" w:eastAsia="仿宋_GB2312"/>
          <w:sz w:val="32"/>
          <w:szCs w:val="32"/>
          <w:highlight w:val="none"/>
        </w:rPr>
        <w:t>创</w:t>
      </w:r>
      <w:r>
        <w:rPr>
          <w:rFonts w:eastAsia="仿宋_GB2312"/>
          <w:sz w:val="32"/>
          <w:szCs w:val="32"/>
          <w:highlight w:val="none"/>
        </w:rPr>
        <w:t>新性、又体现系统集成理念的综合性绿色标准，引领行业绿色制造先进技术工艺的推广应用，打造引领行业发展、深具推广潜力的绿色生产新模式、新业态。</w:t>
      </w:r>
    </w:p>
    <w:p>
      <w:pPr>
        <w:spacing w:line="540" w:lineRule="exact"/>
        <w:ind w:firstLine="605" w:firstLineChars="189"/>
        <w:rPr>
          <w:rFonts w:hint="eastAsia" w:eastAsia="黑体"/>
          <w:sz w:val="32"/>
          <w:szCs w:val="32"/>
          <w:highlight w:val="none"/>
        </w:rPr>
      </w:pPr>
      <w:r>
        <w:rPr>
          <w:rFonts w:hint="eastAsia" w:eastAsia="黑体"/>
          <w:sz w:val="32"/>
          <w:szCs w:val="32"/>
          <w:highlight w:val="none"/>
        </w:rPr>
        <w:t>三、绿色供应链系统构建</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eastAsia="仿宋_GB2312"/>
          <w:sz w:val="32"/>
          <w:highlight w:val="none"/>
        </w:rPr>
        <w:t>由行业龙头企业作为牵头单位，与</w:t>
      </w:r>
      <w:r>
        <w:rPr>
          <w:rFonts w:hint="eastAsia" w:eastAsia="仿宋_GB2312"/>
          <w:sz w:val="32"/>
          <w:highlight w:val="none"/>
        </w:rPr>
        <w:t>核心</w:t>
      </w:r>
      <w:r>
        <w:rPr>
          <w:rFonts w:eastAsia="仿宋_GB2312"/>
          <w:sz w:val="32"/>
          <w:szCs w:val="32"/>
          <w:highlight w:val="none"/>
        </w:rPr>
        <w:t>供应商、物流商、销售商、终端用户</w:t>
      </w:r>
      <w:r>
        <w:rPr>
          <w:rFonts w:hint="eastAsia" w:eastAsia="仿宋_GB2312"/>
          <w:sz w:val="32"/>
          <w:szCs w:val="32"/>
          <w:highlight w:val="none"/>
        </w:rPr>
        <w:t>、回收利用企业</w:t>
      </w:r>
      <w:r>
        <w:rPr>
          <w:rFonts w:eastAsia="仿宋_GB2312"/>
          <w:sz w:val="32"/>
          <w:szCs w:val="32"/>
          <w:highlight w:val="none"/>
        </w:rPr>
        <w:t>等组</w:t>
      </w:r>
      <w:r>
        <w:rPr>
          <w:rFonts w:hint="eastAsia" w:eastAsia="仿宋_GB2312"/>
          <w:sz w:val="32"/>
          <w:szCs w:val="32"/>
          <w:highlight w:val="none"/>
        </w:rPr>
        <w:t>建</w:t>
      </w:r>
      <w:r>
        <w:rPr>
          <w:rFonts w:eastAsia="仿宋_GB2312"/>
          <w:sz w:val="32"/>
          <w:szCs w:val="32"/>
          <w:highlight w:val="none"/>
        </w:rPr>
        <w:t>联合体</w:t>
      </w:r>
      <w:r>
        <w:rPr>
          <w:rFonts w:hint="eastAsia" w:eastAsia="仿宋_GB2312"/>
          <w:sz w:val="32"/>
          <w:szCs w:val="32"/>
          <w:highlight w:val="none"/>
        </w:rPr>
        <w:t>，</w:t>
      </w:r>
      <w:r>
        <w:rPr>
          <w:rFonts w:eastAsia="仿宋_GB2312"/>
          <w:sz w:val="32"/>
          <w:highlight w:val="none"/>
        </w:rPr>
        <w:t>突出牵头企业对产业链上下游的影响力</w:t>
      </w:r>
      <w:r>
        <w:rPr>
          <w:rFonts w:hint="eastAsia" w:eastAsia="仿宋_GB2312"/>
          <w:sz w:val="32"/>
          <w:highlight w:val="none"/>
        </w:rPr>
        <w:t>和带动性，</w:t>
      </w:r>
      <w:r>
        <w:rPr>
          <w:rFonts w:eastAsia="仿宋_GB2312"/>
          <w:sz w:val="32"/>
          <w:highlight w:val="none"/>
        </w:rPr>
        <w:t>确定</w:t>
      </w:r>
      <w:r>
        <w:rPr>
          <w:rFonts w:hint="eastAsia" w:eastAsia="仿宋_GB2312"/>
          <w:sz w:val="32"/>
          <w:highlight w:val="none"/>
        </w:rPr>
        <w:t>和实施</w:t>
      </w:r>
      <w:r>
        <w:rPr>
          <w:rFonts w:eastAsia="仿宋_GB2312"/>
          <w:sz w:val="32"/>
          <w:highlight w:val="none"/>
        </w:rPr>
        <w:t>企业绿色供应链管理战略，</w:t>
      </w:r>
      <w:r>
        <w:rPr>
          <w:rFonts w:hint="eastAsia" w:eastAsia="仿宋_GB2312"/>
          <w:sz w:val="32"/>
          <w:highlight w:val="none"/>
        </w:rPr>
        <w:t>完善管理制度，明确部门职责，</w:t>
      </w:r>
      <w:r>
        <w:rPr>
          <w:rFonts w:eastAsia="仿宋_GB2312"/>
          <w:sz w:val="32"/>
          <w:highlight w:val="none"/>
        </w:rPr>
        <w:t>围</w:t>
      </w:r>
      <w:r>
        <w:rPr>
          <w:rFonts w:eastAsia="仿宋_GB2312"/>
          <w:sz w:val="32"/>
          <w:szCs w:val="32"/>
          <w:highlight w:val="none"/>
        </w:rPr>
        <w:t>绕采购、</w:t>
      </w:r>
      <w:r>
        <w:rPr>
          <w:rFonts w:hint="eastAsia" w:eastAsia="仿宋_GB2312"/>
          <w:sz w:val="32"/>
          <w:szCs w:val="32"/>
          <w:highlight w:val="none"/>
        </w:rPr>
        <w:t>设计、</w:t>
      </w:r>
      <w:r>
        <w:rPr>
          <w:rFonts w:eastAsia="仿宋_GB2312"/>
          <w:sz w:val="32"/>
          <w:szCs w:val="32"/>
          <w:highlight w:val="none"/>
        </w:rPr>
        <w:t>生产、销售、物流、使用、回收处理等重点环节，制定一批绿色供应链标准，</w:t>
      </w:r>
      <w:r>
        <w:rPr>
          <w:rFonts w:eastAsia="仿宋_GB2312"/>
          <w:sz w:val="32"/>
          <w:highlight w:val="none"/>
        </w:rPr>
        <w:t>形成典型行业绿色供应链管理模式和实</w:t>
      </w:r>
      <w:r>
        <w:rPr>
          <w:rFonts w:ascii="仿宋_GB2312" w:hAnsi="仿宋_GB2312" w:eastAsia="仿宋_GB2312" w:cs="仿宋_GB2312"/>
          <w:sz w:val="32"/>
          <w:szCs w:val="32"/>
          <w:highlight w:val="none"/>
        </w:rPr>
        <w:t>施路径。</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联合体共同建立并应用全生命周期资源环境数据收集、分析及评价系统，建设上下游企业间信息共享、传递及披露平台等，实现绿色供应链信息化管理，实现上下游企业资源能源消耗、污染物排放、物料绿色管控、资源综合利用效率等信息的收集、管理和监测。</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实施绿色供应商管理，将环境保护、资源能源利用效率纳入采购要求，</w:t>
      </w:r>
      <w:r>
        <w:rPr>
          <w:rFonts w:hint="eastAsia" w:ascii="仿宋_GB2312" w:hAnsi="仿宋_GB2312" w:eastAsia="仿宋_GB2312" w:cs="仿宋_GB2312"/>
          <w:sz w:val="32"/>
          <w:szCs w:val="32"/>
          <w:highlight w:val="none"/>
        </w:rPr>
        <w:t>重点建设供应商管理平台，</w:t>
      </w:r>
      <w:r>
        <w:rPr>
          <w:rFonts w:ascii="仿宋_GB2312" w:hAnsi="仿宋_GB2312" w:eastAsia="仿宋_GB2312" w:cs="仿宋_GB2312"/>
          <w:sz w:val="32"/>
          <w:szCs w:val="32"/>
          <w:highlight w:val="none"/>
        </w:rPr>
        <w:t>建立健全供应商认证、选择、</w:t>
      </w:r>
      <w:r>
        <w:rPr>
          <w:rFonts w:hint="eastAsia" w:ascii="仿宋_GB2312" w:hAnsi="仿宋_GB2312" w:eastAsia="仿宋_GB2312" w:cs="仿宋_GB2312"/>
          <w:sz w:val="32"/>
          <w:szCs w:val="32"/>
          <w:highlight w:val="none"/>
        </w:rPr>
        <w:t>培训（提升上游供应商管理能力，将绿色供应链的激励效果传递到二级甚至三级供应商）、</w:t>
      </w:r>
      <w:r>
        <w:rPr>
          <w:rFonts w:ascii="仿宋_GB2312" w:hAnsi="仿宋_GB2312" w:eastAsia="仿宋_GB2312" w:cs="仿宋_GB2312"/>
          <w:sz w:val="32"/>
          <w:szCs w:val="32"/>
          <w:highlight w:val="none"/>
        </w:rPr>
        <w:t>审核、绩效管理与退出机制。</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建设绿色回收体系，采用产品回收电子标签、物联网等技术手段，建立可核查、可溯源的绿色回收体系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支持资源综合利用重大技术装备开发应用，提升资源综合利用效率，</w:t>
      </w:r>
      <w:r>
        <w:rPr>
          <w:rFonts w:ascii="仿宋_GB2312" w:hAnsi="仿宋_GB2312" w:eastAsia="仿宋_GB2312" w:cs="仿宋_GB2312"/>
          <w:sz w:val="32"/>
          <w:szCs w:val="32"/>
          <w:highlight w:val="none"/>
        </w:rPr>
        <w:t>实现废旧产品在生产企业、消费者、回收企业、拆解企业之间的有效流通</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选择绿色化改造潜力大的产品，对产品线进行绿色化改造，采用轻量化、长寿命、易回收、易运输等特性的材料，应用模块化、集成化、智能化的绿色产品和装备。</w:t>
      </w:r>
    </w:p>
    <w:p>
      <w:pPr>
        <w:adjustRightInd w:val="0"/>
        <w:snapToGrid w:val="0"/>
        <w:spacing w:line="560" w:lineRule="exact"/>
        <w:ind w:firstLine="640" w:firstLineChars="200"/>
        <w:rPr>
          <w:rFonts w:ascii="仿宋_GB2312" w:hAnsi="仿宋_GB2312" w:eastAsia="仿宋_GB2312" w:cs="仿宋_GB2312"/>
          <w:sz w:val="32"/>
          <w:szCs w:val="32"/>
          <w:highlight w:val="none"/>
        </w:rPr>
      </w:pPr>
    </w:p>
    <w:p>
      <w:pPr>
        <w:adjustRightInd w:val="0"/>
        <w:snapToGrid w:val="0"/>
        <w:spacing w:line="560" w:lineRule="exact"/>
        <w:ind w:firstLine="640" w:firstLineChars="200"/>
        <w:rPr>
          <w:rFonts w:hint="eastAsia" w:ascii="仿宋_GB2312" w:hAnsi="仿宋_GB2312" w:eastAsia="仿宋_GB2312" w:cs="仿宋_GB2312"/>
          <w:sz w:val="32"/>
          <w:highlight w:val="none"/>
        </w:rPr>
      </w:pPr>
      <w:r>
        <w:rPr>
          <w:rFonts w:ascii="仿宋_GB2312" w:hAnsi="仿宋_GB2312" w:eastAsia="仿宋_GB2312" w:cs="仿宋_GB2312"/>
          <w:sz w:val="32"/>
          <w:szCs w:val="32"/>
          <w:highlight w:val="none"/>
        </w:rPr>
        <w:br w:type="page"/>
      </w:r>
      <w:r>
        <w:rPr>
          <w:rFonts w:hint="eastAsia" w:ascii="仿宋_GB2312" w:hAnsi="仿宋_GB2312" w:eastAsia="仿宋_GB2312" w:cs="仿宋_GB2312"/>
          <w:sz w:val="32"/>
          <w:highlight w:val="none"/>
        </w:rPr>
        <w:t>附2</w:t>
      </w: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项目编号：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jc w:val="left"/>
        <w:rPr>
          <w:rFonts w:eastAsia="仿宋_GB2312"/>
          <w:sz w:val="32"/>
          <w:szCs w:val="32"/>
          <w:highlight w:val="none"/>
        </w:rPr>
      </w:pPr>
    </w:p>
    <w:p>
      <w:pPr>
        <w:jc w:val="left"/>
        <w:rPr>
          <w:rFonts w:eastAsia="仿宋_GB2312"/>
          <w:sz w:val="32"/>
          <w:szCs w:val="32"/>
          <w:highlight w:val="none"/>
        </w:rPr>
      </w:pPr>
    </w:p>
    <w:p>
      <w:pPr>
        <w:jc w:val="center"/>
        <w:rPr>
          <w:highlight w:val="none"/>
        </w:rPr>
      </w:pPr>
      <w:r>
        <w:rPr>
          <w:rFonts w:eastAsia="黑体"/>
          <w:b w:val="0"/>
          <w:bCs w:val="0"/>
          <w:sz w:val="44"/>
          <w:szCs w:val="44"/>
          <w:highlight w:val="none"/>
        </w:rPr>
        <w:t>201</w:t>
      </w:r>
      <w:r>
        <w:rPr>
          <w:rFonts w:hint="eastAsia" w:eastAsia="黑体"/>
          <w:b w:val="0"/>
          <w:bCs w:val="0"/>
          <w:sz w:val="44"/>
          <w:szCs w:val="44"/>
          <w:highlight w:val="none"/>
        </w:rPr>
        <w:t>8</w:t>
      </w:r>
      <w:r>
        <w:rPr>
          <w:rFonts w:eastAsia="黑体"/>
          <w:b w:val="0"/>
          <w:bCs w:val="0"/>
          <w:sz w:val="44"/>
          <w:szCs w:val="44"/>
          <w:highlight w:val="none"/>
        </w:rPr>
        <w:t>年绿色制造系统集成</w:t>
      </w:r>
    </w:p>
    <w:p>
      <w:pPr>
        <w:pStyle w:val="3"/>
        <w:spacing w:before="156" w:after="156"/>
        <w:ind w:firstLine="0"/>
        <w:jc w:val="center"/>
        <w:rPr>
          <w:rFonts w:eastAsia="黑体"/>
          <w:b w:val="0"/>
          <w:bCs w:val="0"/>
          <w:sz w:val="44"/>
          <w:szCs w:val="44"/>
          <w:highlight w:val="none"/>
        </w:rPr>
      </w:pPr>
      <w:r>
        <w:rPr>
          <w:rFonts w:eastAsia="黑体"/>
          <w:b w:val="0"/>
          <w:bCs w:val="0"/>
          <w:sz w:val="44"/>
          <w:szCs w:val="44"/>
          <w:highlight w:val="none"/>
        </w:rPr>
        <w:t>项目申报书</w:t>
      </w:r>
    </w:p>
    <w:p>
      <w:pPr>
        <w:ind w:firstLine="640" w:firstLineChars="200"/>
        <w:rPr>
          <w:rFonts w:eastAsia="黑体"/>
          <w:sz w:val="32"/>
          <w:szCs w:val="32"/>
          <w:highlight w:val="none"/>
        </w:rPr>
      </w:pPr>
    </w:p>
    <w:p>
      <w:pPr>
        <w:ind w:firstLine="640" w:firstLineChars="200"/>
        <w:rPr>
          <w:rFonts w:eastAsia="黑体"/>
          <w:sz w:val="32"/>
          <w:szCs w:val="32"/>
          <w:highlight w:val="none"/>
        </w:rPr>
      </w:pPr>
    </w:p>
    <w:p>
      <w:pPr>
        <w:ind w:firstLine="640" w:firstLineChars="200"/>
        <w:rPr>
          <w:rFonts w:eastAsia="黑体"/>
          <w:sz w:val="32"/>
          <w:szCs w:val="32"/>
          <w:highlight w:val="none"/>
        </w:rPr>
      </w:pPr>
    </w:p>
    <w:p>
      <w:pPr>
        <w:ind w:firstLine="640" w:firstLineChars="200"/>
        <w:rPr>
          <w:rFonts w:eastAsia="黑体"/>
          <w:sz w:val="32"/>
          <w:szCs w:val="32"/>
          <w:highlight w:val="none"/>
          <w:u w:val="single"/>
        </w:rPr>
      </w:pPr>
      <w:r>
        <w:rPr>
          <w:rFonts w:eastAsia="黑体"/>
          <w:sz w:val="32"/>
          <w:szCs w:val="32"/>
          <w:highlight w:val="none"/>
        </w:rPr>
        <w:t>项目名称：</w:t>
      </w:r>
    </w:p>
    <w:p>
      <w:pPr>
        <w:ind w:firstLine="640" w:firstLineChars="200"/>
        <w:rPr>
          <w:rFonts w:eastAsia="黑体"/>
          <w:sz w:val="32"/>
          <w:szCs w:val="32"/>
          <w:highlight w:val="none"/>
        </w:rPr>
      </w:pPr>
      <w:r>
        <w:rPr>
          <w:rFonts w:eastAsia="黑体"/>
          <w:sz w:val="32"/>
          <w:szCs w:val="32"/>
          <w:highlight w:val="none"/>
        </w:rPr>
        <w:t>项目推荐单位：（省级工信部门、财政部门）</w:t>
      </w:r>
    </w:p>
    <w:p>
      <w:pPr>
        <w:ind w:firstLine="640" w:firstLineChars="200"/>
        <w:rPr>
          <w:rFonts w:eastAsia="黑体"/>
          <w:sz w:val="32"/>
          <w:szCs w:val="32"/>
          <w:highlight w:val="none"/>
          <w:u w:val="single"/>
        </w:rPr>
      </w:pPr>
      <w:r>
        <w:rPr>
          <w:rFonts w:eastAsia="黑体"/>
          <w:sz w:val="32"/>
          <w:szCs w:val="32"/>
          <w:highlight w:val="none"/>
        </w:rPr>
        <w:t>项目责任单位：（牵头单位，加盖公章）</w:t>
      </w:r>
    </w:p>
    <w:p>
      <w:pPr>
        <w:ind w:firstLine="640" w:firstLineChars="200"/>
        <w:rPr>
          <w:rFonts w:eastAsia="黑体"/>
          <w:sz w:val="32"/>
          <w:szCs w:val="32"/>
          <w:highlight w:val="none"/>
          <w:u w:val="single"/>
        </w:rPr>
      </w:pPr>
      <w:r>
        <w:rPr>
          <w:rFonts w:eastAsia="黑体"/>
          <w:sz w:val="32"/>
          <w:szCs w:val="32"/>
          <w:highlight w:val="none"/>
        </w:rPr>
        <w:t>项目总负责人：（牵头单位法定代表人，签章）</w:t>
      </w:r>
    </w:p>
    <w:p>
      <w:pPr>
        <w:ind w:firstLine="640" w:firstLineChars="200"/>
        <w:rPr>
          <w:rFonts w:eastAsia="黑体"/>
          <w:sz w:val="32"/>
          <w:szCs w:val="32"/>
          <w:highlight w:val="none"/>
          <w:u w:val="single"/>
        </w:rPr>
      </w:pPr>
      <w:r>
        <w:rPr>
          <w:rFonts w:eastAsia="黑体"/>
          <w:sz w:val="32"/>
          <w:szCs w:val="32"/>
          <w:highlight w:val="none"/>
        </w:rPr>
        <w:t>联系方式：</w:t>
      </w:r>
    </w:p>
    <w:p>
      <w:pPr>
        <w:ind w:firstLine="640" w:firstLineChars="200"/>
        <w:rPr>
          <w:rFonts w:eastAsia="黑体"/>
          <w:sz w:val="32"/>
          <w:szCs w:val="32"/>
          <w:highlight w:val="none"/>
          <w:u w:val="single"/>
        </w:rPr>
      </w:pPr>
      <w:r>
        <w:rPr>
          <w:rFonts w:eastAsia="黑体"/>
          <w:sz w:val="32"/>
          <w:szCs w:val="32"/>
          <w:highlight w:val="none"/>
        </w:rPr>
        <w:t>项目技术负责人：</w:t>
      </w:r>
    </w:p>
    <w:p>
      <w:pPr>
        <w:ind w:firstLine="640" w:firstLineChars="200"/>
        <w:rPr>
          <w:rFonts w:eastAsia="黑体"/>
          <w:sz w:val="32"/>
          <w:szCs w:val="32"/>
          <w:highlight w:val="none"/>
        </w:rPr>
      </w:pPr>
      <w:r>
        <w:rPr>
          <w:rFonts w:eastAsia="黑体"/>
          <w:sz w:val="32"/>
          <w:szCs w:val="32"/>
          <w:highlight w:val="none"/>
        </w:rPr>
        <w:t>联系方式：</w:t>
      </w:r>
    </w:p>
    <w:p>
      <w:pPr>
        <w:ind w:firstLine="640" w:firstLineChars="200"/>
        <w:rPr>
          <w:rFonts w:eastAsia="黑体"/>
          <w:sz w:val="32"/>
          <w:szCs w:val="32"/>
          <w:highlight w:val="none"/>
        </w:rPr>
      </w:pPr>
      <w:r>
        <w:rPr>
          <w:rFonts w:eastAsia="黑体"/>
          <w:sz w:val="32"/>
          <w:szCs w:val="32"/>
          <w:highlight w:val="none"/>
        </w:rPr>
        <w:t>通讯地址：</w:t>
      </w:r>
    </w:p>
    <w:p>
      <w:pPr>
        <w:ind w:firstLine="640" w:firstLineChars="200"/>
        <w:jc w:val="center"/>
        <w:rPr>
          <w:rFonts w:eastAsia="黑体"/>
          <w:sz w:val="32"/>
          <w:szCs w:val="32"/>
          <w:highlight w:val="none"/>
        </w:rPr>
      </w:pPr>
    </w:p>
    <w:p>
      <w:pPr>
        <w:ind w:firstLine="640" w:firstLineChars="200"/>
        <w:jc w:val="center"/>
        <w:rPr>
          <w:rFonts w:eastAsia="黑体"/>
          <w:sz w:val="32"/>
          <w:szCs w:val="32"/>
          <w:highlight w:val="none"/>
        </w:rPr>
      </w:pPr>
      <w:r>
        <w:rPr>
          <w:rFonts w:eastAsia="黑体"/>
          <w:sz w:val="32"/>
          <w:szCs w:val="32"/>
          <w:highlight w:val="none"/>
        </w:rPr>
        <w:t>中华人民共和国工业和信息化部制</w:t>
      </w:r>
    </w:p>
    <w:p>
      <w:pPr>
        <w:spacing w:line="540" w:lineRule="exact"/>
        <w:ind w:firstLine="640" w:firstLineChars="200"/>
        <w:jc w:val="center"/>
        <w:rPr>
          <w:rFonts w:eastAsia="黑体"/>
          <w:sz w:val="32"/>
          <w:szCs w:val="32"/>
          <w:highlight w:val="none"/>
        </w:rPr>
      </w:pPr>
      <w:r>
        <w:rPr>
          <w:rFonts w:eastAsia="黑体"/>
          <w:sz w:val="32"/>
          <w:szCs w:val="32"/>
          <w:highlight w:val="none"/>
        </w:rPr>
        <w:t>年     月</w:t>
      </w:r>
      <w:r>
        <w:rPr>
          <w:rFonts w:eastAsia="黑体"/>
          <w:sz w:val="32"/>
          <w:szCs w:val="32"/>
          <w:highlight w:val="none"/>
        </w:rPr>
        <w:br w:type="page"/>
      </w:r>
    </w:p>
    <w:p>
      <w:pPr>
        <w:spacing w:line="540" w:lineRule="exact"/>
        <w:jc w:val="center"/>
        <w:rPr>
          <w:rFonts w:eastAsia="黑体"/>
          <w:sz w:val="32"/>
          <w:szCs w:val="32"/>
          <w:highlight w:val="none"/>
        </w:rPr>
      </w:pPr>
      <w:r>
        <w:rPr>
          <w:rFonts w:eastAsia="黑体"/>
          <w:sz w:val="32"/>
          <w:szCs w:val="32"/>
          <w:highlight w:val="none"/>
        </w:rPr>
        <w:t>填表说明</w:t>
      </w:r>
    </w:p>
    <w:p>
      <w:pPr>
        <w:spacing w:line="540" w:lineRule="exact"/>
        <w:ind w:firstLine="640" w:firstLineChars="200"/>
        <w:jc w:val="center"/>
        <w:rPr>
          <w:rFonts w:eastAsia="黑体"/>
          <w:sz w:val="32"/>
          <w:szCs w:val="32"/>
          <w:highlight w:val="none"/>
        </w:rPr>
      </w:pPr>
    </w:p>
    <w:p>
      <w:pPr>
        <w:spacing w:line="540" w:lineRule="exact"/>
        <w:ind w:firstLine="560" w:firstLineChars="200"/>
        <w:rPr>
          <w:rFonts w:eastAsia="仿宋_GB2312"/>
          <w:sz w:val="28"/>
          <w:szCs w:val="28"/>
          <w:highlight w:val="none"/>
        </w:rPr>
      </w:pPr>
      <w:r>
        <w:rPr>
          <w:rFonts w:eastAsia="仿宋_GB2312"/>
          <w:sz w:val="28"/>
          <w:szCs w:val="28"/>
          <w:highlight w:val="none"/>
        </w:rPr>
        <w:t>为建立统一、规范的绿色制造系统集成项目管理制度，请项目申报单位严格按照《201</w:t>
      </w:r>
      <w:r>
        <w:rPr>
          <w:rFonts w:hint="eastAsia" w:eastAsia="仿宋_GB2312"/>
          <w:sz w:val="28"/>
          <w:szCs w:val="28"/>
          <w:highlight w:val="none"/>
        </w:rPr>
        <w:t>8</w:t>
      </w:r>
      <w:r>
        <w:rPr>
          <w:rFonts w:eastAsia="仿宋_GB2312"/>
          <w:sz w:val="28"/>
          <w:szCs w:val="28"/>
          <w:highlight w:val="none"/>
        </w:rPr>
        <w:t>年绿色制造系统集成项目申报书》格式和填写要求，填写表中各项。</w:t>
      </w:r>
    </w:p>
    <w:p>
      <w:pPr>
        <w:spacing w:line="540" w:lineRule="exact"/>
        <w:ind w:firstLine="560" w:firstLineChars="200"/>
        <w:rPr>
          <w:rFonts w:eastAsia="仿宋_GB2312"/>
          <w:sz w:val="28"/>
          <w:szCs w:val="28"/>
          <w:highlight w:val="none"/>
        </w:rPr>
      </w:pPr>
      <w:r>
        <w:rPr>
          <w:rFonts w:eastAsia="仿宋_GB2312"/>
          <w:sz w:val="28"/>
          <w:szCs w:val="28"/>
          <w:highlight w:val="none"/>
        </w:rPr>
        <w:t>一、项目编号与省级主管部门提交的《201</w:t>
      </w:r>
      <w:r>
        <w:rPr>
          <w:rFonts w:hint="eastAsia" w:eastAsia="仿宋_GB2312"/>
          <w:sz w:val="28"/>
          <w:szCs w:val="28"/>
          <w:highlight w:val="none"/>
        </w:rPr>
        <w:t>8</w:t>
      </w:r>
      <w:r>
        <w:rPr>
          <w:rFonts w:eastAsia="仿宋_GB2312"/>
          <w:sz w:val="28"/>
          <w:szCs w:val="28"/>
          <w:highlight w:val="none"/>
        </w:rPr>
        <w:t>年绿色制造系统集成项目汇总表》编号一致，由省级主管部门填写。</w:t>
      </w:r>
    </w:p>
    <w:p>
      <w:pPr>
        <w:spacing w:line="540" w:lineRule="exact"/>
        <w:ind w:firstLine="560" w:firstLineChars="200"/>
        <w:rPr>
          <w:rFonts w:eastAsia="仿宋_GB2312"/>
          <w:sz w:val="28"/>
          <w:szCs w:val="28"/>
          <w:highlight w:val="none"/>
        </w:rPr>
      </w:pPr>
      <w:r>
        <w:rPr>
          <w:rFonts w:eastAsia="仿宋_GB2312"/>
          <w:sz w:val="28"/>
          <w:szCs w:val="28"/>
          <w:highlight w:val="none"/>
        </w:rPr>
        <w:t>二、申报书由项目联合体牵头单位（责任单位）编写，并报送项目所在省、自治区、直辖市、计划单列市、新疆生产建设兵团工业和信息化主管部门。</w:t>
      </w:r>
    </w:p>
    <w:p>
      <w:pPr>
        <w:spacing w:line="540" w:lineRule="exact"/>
        <w:ind w:firstLine="560" w:firstLineChars="200"/>
        <w:rPr>
          <w:rFonts w:hint="eastAsia" w:ascii="仿宋_GB2312" w:hAnsi="仿宋_GB2312" w:eastAsia="仿宋_GB2312" w:cs="仿宋_GB2312"/>
          <w:sz w:val="28"/>
          <w:szCs w:val="28"/>
          <w:highlight w:val="none"/>
        </w:rPr>
      </w:pPr>
      <w:r>
        <w:rPr>
          <w:rFonts w:eastAsia="仿宋_GB2312"/>
          <w:sz w:val="28"/>
          <w:szCs w:val="28"/>
          <w:highlight w:val="none"/>
        </w:rPr>
        <w:t>三、编写人员应客观、真实地填报申报材料，尊重他人知识产权，</w:t>
      </w:r>
      <w:r>
        <w:rPr>
          <w:rFonts w:hint="eastAsia" w:ascii="仿宋_GB2312" w:hAnsi="仿宋_GB2312" w:eastAsia="仿宋_GB2312" w:cs="仿宋_GB2312"/>
          <w:sz w:val="28"/>
          <w:szCs w:val="28"/>
          <w:highlight w:val="none"/>
        </w:rPr>
        <w:t>遵守国家有关知识产权法规。</w:t>
      </w:r>
    </w:p>
    <w:p>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四、填报字数说明：申报书各项内容填写尽可能详实，充分展现项目信息，作为专家评审打分的重要依据。</w:t>
      </w:r>
    </w:p>
    <w:p>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五、填报格式说明：请用A4幅面编辑打印，一级标题3号黑体，二级标题4号楷体，正文字体为小4号宋体，1.5倍行距。</w:t>
      </w:r>
    </w:p>
    <w:p>
      <w:pPr>
        <w:widowControl/>
        <w:spacing w:before="156" w:beforeLines="0" w:after="156" w:afterLines="0" w:line="460" w:lineRule="exact"/>
        <w:jc w:val="center"/>
        <w:rPr>
          <w:rFonts w:hint="eastAsia" w:ascii="黑体" w:hAnsi="黑体" w:eastAsia="黑体" w:cs="黑体"/>
          <w:sz w:val="32"/>
          <w:szCs w:val="32"/>
          <w:highlight w:val="none"/>
        </w:rPr>
      </w:pPr>
      <w:r>
        <w:rPr>
          <w:rFonts w:eastAsia="黑体"/>
          <w:sz w:val="32"/>
          <w:szCs w:val="32"/>
          <w:highlight w:val="none"/>
        </w:rPr>
        <w:br w:type="page"/>
      </w:r>
      <w:r>
        <w:rPr>
          <w:rFonts w:hint="eastAsia" w:ascii="黑体" w:hAnsi="黑体" w:eastAsia="黑体" w:cs="黑体"/>
          <w:kern w:val="2"/>
          <w:sz w:val="28"/>
          <w:szCs w:val="28"/>
          <w:highlight w:val="none"/>
        </w:rPr>
        <w:t>绿色制造系统集成项目关键信息确认表</w:t>
      </w:r>
    </w:p>
    <w:p>
      <w:pPr>
        <w:jc w:val="left"/>
        <w:rPr>
          <w:sz w:val="24"/>
          <w:szCs w:val="24"/>
          <w:highlight w:val="none"/>
        </w:rPr>
      </w:pPr>
      <w:r>
        <w:rPr>
          <w:b/>
          <w:sz w:val="24"/>
          <w:szCs w:val="24"/>
          <w:highlight w:val="none"/>
        </w:rPr>
        <w:t>填报单位：</w:t>
      </w:r>
      <w:r>
        <w:rPr>
          <w:sz w:val="24"/>
          <w:szCs w:val="24"/>
          <w:highlight w:val="none"/>
        </w:rPr>
        <w:t>（</w:t>
      </w:r>
      <w:r>
        <w:rPr>
          <w:rFonts w:hint="eastAsia" w:ascii="仿宋_GB2312" w:hAnsi="仿宋_GB2312" w:eastAsia="仿宋_GB2312" w:cs="仿宋_GB2312"/>
          <w:sz w:val="24"/>
          <w:szCs w:val="24"/>
          <w:highlight w:val="none"/>
        </w:rPr>
        <w:t>联合体牵头单位，加盖公章</w:t>
      </w:r>
      <w:r>
        <w:rPr>
          <w:sz w:val="24"/>
          <w:szCs w:val="24"/>
          <w:highlight w:val="none"/>
        </w:rPr>
        <w:t>）</w:t>
      </w:r>
    </w:p>
    <w:tbl>
      <w:tblPr>
        <w:tblStyle w:val="7"/>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393"/>
        <w:gridCol w:w="512"/>
        <w:gridCol w:w="339"/>
        <w:gridCol w:w="1816"/>
        <w:gridCol w:w="391"/>
        <w:gridCol w:w="133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项目名称</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（如，XX绿色设计平台建设项目/XX绿色关键工艺系统集成项目/XX绿色供应链系统构建项目等）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项目类型</w:t>
            </w:r>
          </w:p>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（单选）</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□1.绿色设计平台建设         □2.绿色关键工艺突破  </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□3.绿色供应链系统构建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项目所属行业</w:t>
            </w:r>
          </w:p>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（单选）</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□A机械    □B食品    □C纺织    □D化工   □E电子</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□F家电    □G大型成套装备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1681" w:type="dxa"/>
            <w:vAlign w:val="top"/>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预期成果</w:t>
            </w:r>
          </w:p>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（多选）</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□绿色产品    □绿色工厂    □绿色供应链    </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□行业标准    □团体标准    □绿色制造典型模式</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项目实施期限</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   至</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（项目应在2020年12月底前完成）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项目总投资</w:t>
            </w:r>
          </w:p>
        </w:tc>
        <w:tc>
          <w:tcPr>
            <w:tcW w:w="7102" w:type="dxa"/>
            <w:gridSpan w:val="7"/>
            <w:vAlign w:val="center"/>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其中申请财政补助资金</w:t>
            </w:r>
          </w:p>
        </w:tc>
        <w:tc>
          <w:tcPr>
            <w:tcW w:w="7102" w:type="dxa"/>
            <w:gridSpan w:val="7"/>
            <w:vAlign w:val="top"/>
          </w:tcPr>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XX万元</w:t>
            </w:r>
          </w:p>
          <w:p>
            <w:pPr>
              <w:snapToGrid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（原则上申请财政补助资金按项目总投资金额的30%测算，同时单个项目申请财政资金不超过5000万）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restart"/>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绩效目标</w:t>
            </w:r>
          </w:p>
        </w:tc>
        <w:tc>
          <w:tcPr>
            <w:tcW w:w="1905" w:type="dxa"/>
            <w:gridSpan w:val="2"/>
            <w:vAlign w:val="top"/>
          </w:tcPr>
          <w:p>
            <w:pPr>
              <w:snapToGrid w:val="0"/>
              <w:jc w:val="center"/>
              <w:rPr>
                <w:rFonts w:hint="eastAsia" w:ascii="宋体" w:hAnsi="宋体" w:cs="宋体"/>
                <w:b/>
                <w:sz w:val="21"/>
                <w:szCs w:val="21"/>
                <w:highlight w:val="none"/>
              </w:rPr>
            </w:pPr>
            <w:r>
              <w:rPr>
                <w:rFonts w:hint="eastAsia" w:ascii="宋体" w:hAnsi="宋体" w:cs="宋体"/>
                <w:b/>
                <w:sz w:val="21"/>
                <w:szCs w:val="21"/>
                <w:highlight w:val="none"/>
              </w:rPr>
              <w:t>指标</w:t>
            </w:r>
          </w:p>
        </w:tc>
        <w:tc>
          <w:tcPr>
            <w:tcW w:w="2155" w:type="dxa"/>
            <w:gridSpan w:val="2"/>
            <w:vAlign w:val="top"/>
          </w:tcPr>
          <w:p>
            <w:pPr>
              <w:snapToGrid w:val="0"/>
              <w:jc w:val="center"/>
              <w:rPr>
                <w:rFonts w:hint="eastAsia" w:ascii="宋体" w:hAnsi="宋体" w:cs="宋体"/>
                <w:b/>
                <w:sz w:val="21"/>
                <w:szCs w:val="21"/>
                <w:highlight w:val="none"/>
              </w:rPr>
            </w:pPr>
            <w:r>
              <w:rPr>
                <w:rFonts w:hint="eastAsia" w:ascii="宋体" w:hAnsi="宋体" w:cs="宋体"/>
                <w:b/>
                <w:sz w:val="21"/>
                <w:szCs w:val="21"/>
                <w:highlight w:val="none"/>
              </w:rPr>
              <w:t>基期值</w:t>
            </w:r>
          </w:p>
        </w:tc>
        <w:tc>
          <w:tcPr>
            <w:tcW w:w="3042" w:type="dxa"/>
            <w:gridSpan w:val="3"/>
            <w:vAlign w:val="top"/>
          </w:tcPr>
          <w:p>
            <w:pPr>
              <w:snapToGrid w:val="0"/>
              <w:jc w:val="center"/>
              <w:rPr>
                <w:rFonts w:hint="eastAsia" w:ascii="宋体" w:hAnsi="宋体" w:cs="宋体"/>
                <w:b/>
                <w:sz w:val="21"/>
                <w:szCs w:val="21"/>
                <w:highlight w:val="none"/>
              </w:rPr>
            </w:pPr>
            <w:r>
              <w:rPr>
                <w:rFonts w:hint="eastAsia" w:ascii="宋体" w:hAnsi="宋体" w:cs="宋体"/>
                <w:b/>
                <w:sz w:val="21"/>
                <w:szCs w:val="21"/>
                <w:highlight w:val="none"/>
              </w:rPr>
              <w:t>预期值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1905"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制造技术</w:t>
            </w:r>
          </w:p>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绿色化率（%）</w:t>
            </w:r>
          </w:p>
        </w:tc>
        <w:tc>
          <w:tcPr>
            <w:tcW w:w="2155" w:type="dxa"/>
            <w:gridSpan w:val="2"/>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（2017年实际值，基期值不为零，新建项目应参考行业平均水平，下同）</w:t>
            </w:r>
          </w:p>
        </w:tc>
        <w:tc>
          <w:tcPr>
            <w:tcW w:w="3042" w:type="dxa"/>
            <w:gridSpan w:val="3"/>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（目标要求：比基期提高20个百分点或达到90%以上）</w:t>
            </w:r>
          </w:p>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注：上述两项目标达一即可，下同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1905"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制造过程</w:t>
            </w:r>
          </w:p>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绿色化率（%）</w:t>
            </w:r>
          </w:p>
        </w:tc>
        <w:tc>
          <w:tcPr>
            <w:tcW w:w="2155" w:type="dxa"/>
            <w:gridSpan w:val="2"/>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（2017年实际值）</w:t>
            </w:r>
          </w:p>
        </w:tc>
        <w:tc>
          <w:tcPr>
            <w:tcW w:w="3042" w:type="dxa"/>
            <w:gridSpan w:val="3"/>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（目标要求：比基期提高20个百分点以上，如从20%提高到40%）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1905"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绿色制造资源环境影响度（%）</w:t>
            </w:r>
          </w:p>
        </w:tc>
        <w:tc>
          <w:tcPr>
            <w:tcW w:w="2155" w:type="dxa"/>
            <w:gridSpan w:val="2"/>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（2017年实际值）</w:t>
            </w:r>
          </w:p>
        </w:tc>
        <w:tc>
          <w:tcPr>
            <w:tcW w:w="3042" w:type="dxa"/>
            <w:gridSpan w:val="3"/>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（目标要求：比基期下降15个百分点或低于90%，如从110%下降到95%）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restart"/>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牵头单位</w:t>
            </w:r>
          </w:p>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基本情况</w:t>
            </w: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央企总部</w:t>
            </w:r>
          </w:p>
        </w:tc>
        <w:tc>
          <w:tcPr>
            <w:tcW w:w="3042" w:type="dxa"/>
            <w:gridSpan w:val="3"/>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u w:val="single"/>
              </w:rPr>
              <w:t>（申报单位为央企，填写央企总部，其他不填写）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center"/>
          </w:tcPr>
          <w:p>
            <w:pPr>
              <w:snapToGrid w:val="0"/>
              <w:jc w:val="center"/>
              <w:rPr>
                <w:rFonts w:hint="eastAsia" w:ascii="黑体" w:hAnsi="黑体" w:eastAsia="黑体" w:cs="黑体"/>
                <w:bCs/>
                <w:sz w:val="21"/>
                <w:szCs w:val="21"/>
                <w:highlight w:val="none"/>
              </w:rPr>
            </w:pP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企业性质</w:t>
            </w:r>
          </w:p>
        </w:tc>
        <w:tc>
          <w:tcPr>
            <w:tcW w:w="3042" w:type="dxa"/>
            <w:gridSpan w:val="3"/>
            <w:vAlign w:val="center"/>
          </w:tcPr>
          <w:p>
            <w:pPr>
              <w:snapToGrid w:val="0"/>
              <w:rPr>
                <w:rFonts w:hint="eastAsia" w:ascii="宋体" w:hAnsi="宋体" w:cs="宋体"/>
                <w:sz w:val="21"/>
                <w:szCs w:val="21"/>
                <w:highlight w:val="none"/>
              </w:rPr>
            </w:pPr>
            <w:r>
              <w:rPr>
                <w:rFonts w:hint="eastAsia" w:ascii="仿宋_GB2312" w:hAnsi="仿宋_GB2312" w:eastAsia="仿宋_GB2312" w:cs="仿宋_GB2312"/>
                <w:sz w:val="21"/>
                <w:szCs w:val="21"/>
                <w:highlight w:val="none"/>
              </w:rPr>
              <w:t>□</w:t>
            </w:r>
            <w:r>
              <w:rPr>
                <w:rFonts w:hint="eastAsia" w:ascii="宋体" w:hAnsi="宋体" w:cs="宋体"/>
                <w:sz w:val="21"/>
                <w:szCs w:val="21"/>
                <w:highlight w:val="none"/>
              </w:rPr>
              <w:t xml:space="preserve">国有  </w:t>
            </w:r>
            <w:r>
              <w:rPr>
                <w:rFonts w:hint="eastAsia" w:ascii="仿宋_GB2312" w:hAnsi="仿宋_GB2312" w:eastAsia="仿宋_GB2312" w:cs="仿宋_GB2312"/>
                <w:sz w:val="21"/>
                <w:szCs w:val="21"/>
                <w:highlight w:val="none"/>
              </w:rPr>
              <w:t>□民营  □</w:t>
            </w:r>
            <w:r>
              <w:rPr>
                <w:rFonts w:hint="eastAsia" w:ascii="宋体" w:hAnsi="宋体" w:cs="宋体"/>
                <w:sz w:val="21"/>
                <w:szCs w:val="21"/>
                <w:highlight w:val="none"/>
              </w:rPr>
              <w:t xml:space="preserve">三资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center"/>
          </w:tcPr>
          <w:p>
            <w:pPr>
              <w:snapToGrid w:val="0"/>
              <w:jc w:val="center"/>
              <w:rPr>
                <w:rFonts w:hint="eastAsia" w:ascii="黑体" w:hAnsi="黑体" w:eastAsia="黑体" w:cs="黑体"/>
                <w:bCs/>
                <w:sz w:val="21"/>
                <w:szCs w:val="21"/>
                <w:highlight w:val="none"/>
              </w:rPr>
            </w:pP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企业的资产规模及财务状况</w:t>
            </w:r>
          </w:p>
        </w:tc>
        <w:tc>
          <w:tcPr>
            <w:tcW w:w="3042" w:type="dxa"/>
            <w:gridSpan w:val="3"/>
            <w:vAlign w:val="center"/>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center"/>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主要产品的市场占有率</w:t>
            </w:r>
          </w:p>
        </w:tc>
        <w:tc>
          <w:tcPr>
            <w:tcW w:w="3042" w:type="dxa"/>
            <w:gridSpan w:val="3"/>
            <w:vAlign w:val="center"/>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top"/>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项目目标产品/技术/标准水平</w:t>
            </w:r>
          </w:p>
        </w:tc>
        <w:tc>
          <w:tcPr>
            <w:tcW w:w="3042" w:type="dxa"/>
            <w:gridSpan w:val="3"/>
            <w:vAlign w:val="top"/>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top"/>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标准制定基础</w:t>
            </w:r>
          </w:p>
        </w:tc>
        <w:tc>
          <w:tcPr>
            <w:tcW w:w="3042" w:type="dxa"/>
            <w:gridSpan w:val="3"/>
            <w:vAlign w:val="top"/>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Merge w:val="continue"/>
            <w:vAlign w:val="top"/>
          </w:tcPr>
          <w:p>
            <w:pPr>
              <w:snapToGrid w:val="0"/>
              <w:rPr>
                <w:rFonts w:hint="eastAsia" w:ascii="黑体" w:hAnsi="黑体" w:eastAsia="黑体" w:cs="黑体"/>
                <w:bCs/>
                <w:sz w:val="21"/>
                <w:szCs w:val="21"/>
                <w:highlight w:val="none"/>
              </w:rPr>
            </w:pPr>
          </w:p>
        </w:tc>
        <w:tc>
          <w:tcPr>
            <w:tcW w:w="4060" w:type="dxa"/>
            <w:gridSpan w:val="4"/>
            <w:vAlign w:val="top"/>
          </w:tcPr>
          <w:p>
            <w:pPr>
              <w:snapToGrid w:val="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绿色制造基础</w:t>
            </w:r>
          </w:p>
        </w:tc>
        <w:tc>
          <w:tcPr>
            <w:tcW w:w="3042" w:type="dxa"/>
            <w:gridSpan w:val="3"/>
            <w:vAlign w:val="top"/>
          </w:tcPr>
          <w:p>
            <w:pPr>
              <w:snapToGrid w:val="0"/>
              <w:jc w:val="center"/>
              <w:rPr>
                <w:rFonts w:hint="eastAsia"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联合体组建</w:t>
            </w:r>
          </w:p>
        </w:tc>
        <w:tc>
          <w:tcPr>
            <w:tcW w:w="1393"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单位名称</w:t>
            </w:r>
          </w:p>
        </w:tc>
        <w:tc>
          <w:tcPr>
            <w:tcW w:w="851"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单位类型</w:t>
            </w:r>
          </w:p>
        </w:tc>
        <w:tc>
          <w:tcPr>
            <w:tcW w:w="2207" w:type="dxa"/>
            <w:gridSpan w:val="2"/>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组织机构代码或统一社会信用代码</w:t>
            </w:r>
          </w:p>
        </w:tc>
        <w:tc>
          <w:tcPr>
            <w:tcW w:w="1337"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承担任务分工</w:t>
            </w:r>
          </w:p>
        </w:tc>
        <w:tc>
          <w:tcPr>
            <w:tcW w:w="1314" w:type="dxa"/>
            <w:vAlign w:val="center"/>
          </w:tcPr>
          <w:p>
            <w:pPr>
              <w:snapToGrid w:val="0"/>
              <w:jc w:val="center"/>
              <w:rPr>
                <w:rFonts w:hint="eastAsia" w:ascii="黑体" w:hAnsi="黑体" w:eastAsia="黑体" w:cs="黑体"/>
                <w:bCs/>
                <w:sz w:val="21"/>
                <w:szCs w:val="21"/>
                <w:highlight w:val="none"/>
              </w:rPr>
            </w:pPr>
            <w:r>
              <w:rPr>
                <w:rFonts w:hint="eastAsia" w:ascii="黑体" w:hAnsi="黑体" w:eastAsia="黑体" w:cs="黑体"/>
                <w:bCs/>
                <w:sz w:val="21"/>
                <w:szCs w:val="21"/>
                <w:highlight w:val="none"/>
              </w:rPr>
              <w:t>补助资金分配比例（%）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牵头单位</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成员单位1</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成员单位2</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成员单位3</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1" w:type="dxa"/>
            <w:vAlign w:val="top"/>
          </w:tcPr>
          <w:p>
            <w:pPr>
              <w:snapToGrid w:val="0"/>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1393" w:type="dxa"/>
            <w:vAlign w:val="top"/>
          </w:tcPr>
          <w:p>
            <w:pPr>
              <w:snapToGrid w:val="0"/>
              <w:jc w:val="center"/>
              <w:rPr>
                <w:rFonts w:hint="eastAsia" w:ascii="宋体" w:hAnsi="宋体" w:cs="宋体"/>
                <w:sz w:val="24"/>
                <w:szCs w:val="24"/>
                <w:highlight w:val="none"/>
              </w:rPr>
            </w:pPr>
          </w:p>
        </w:tc>
        <w:tc>
          <w:tcPr>
            <w:tcW w:w="851" w:type="dxa"/>
            <w:gridSpan w:val="2"/>
            <w:vAlign w:val="top"/>
          </w:tcPr>
          <w:p>
            <w:pPr>
              <w:snapToGrid w:val="0"/>
              <w:jc w:val="center"/>
              <w:rPr>
                <w:rFonts w:hint="eastAsia" w:ascii="宋体" w:hAnsi="宋体" w:cs="宋体"/>
                <w:sz w:val="24"/>
                <w:szCs w:val="24"/>
                <w:highlight w:val="none"/>
              </w:rPr>
            </w:pPr>
          </w:p>
        </w:tc>
        <w:tc>
          <w:tcPr>
            <w:tcW w:w="2207" w:type="dxa"/>
            <w:gridSpan w:val="2"/>
            <w:vAlign w:val="top"/>
          </w:tcPr>
          <w:p>
            <w:pPr>
              <w:snapToGrid w:val="0"/>
              <w:jc w:val="center"/>
              <w:rPr>
                <w:rFonts w:hint="eastAsia" w:ascii="宋体" w:hAnsi="宋体" w:cs="宋体"/>
                <w:sz w:val="24"/>
                <w:szCs w:val="24"/>
                <w:highlight w:val="none"/>
              </w:rPr>
            </w:pPr>
          </w:p>
        </w:tc>
        <w:tc>
          <w:tcPr>
            <w:tcW w:w="1337" w:type="dxa"/>
            <w:vAlign w:val="top"/>
          </w:tcPr>
          <w:p>
            <w:pPr>
              <w:snapToGrid w:val="0"/>
              <w:jc w:val="center"/>
              <w:rPr>
                <w:rFonts w:hint="eastAsia" w:ascii="宋体" w:hAnsi="宋体" w:cs="宋体"/>
                <w:sz w:val="24"/>
                <w:szCs w:val="24"/>
                <w:highlight w:val="none"/>
              </w:rPr>
            </w:pPr>
          </w:p>
        </w:tc>
        <w:tc>
          <w:tcPr>
            <w:tcW w:w="1314" w:type="dxa"/>
            <w:vAlign w:val="top"/>
          </w:tcPr>
          <w:p>
            <w:pPr>
              <w:snapToGrid w:val="0"/>
              <w:jc w:val="center"/>
              <w:rPr>
                <w:rFonts w:hint="eastAsia" w:ascii="宋体" w:hAnsi="宋体" w:cs="宋体"/>
                <w:sz w:val="24"/>
                <w:szCs w:val="24"/>
                <w:highlight w:val="none"/>
              </w:rPr>
            </w:pPr>
          </w:p>
        </w:tc>
      </w:tr>
    </w:tbl>
    <w:p>
      <w:pPr>
        <w:rPr>
          <w:rFonts w:eastAsia="黑体"/>
          <w:bCs/>
          <w:sz w:val="32"/>
          <w:szCs w:val="32"/>
          <w:highlight w:val="none"/>
        </w:rPr>
      </w:pPr>
      <w:r>
        <w:rPr>
          <w:rFonts w:eastAsia="黑体"/>
          <w:sz w:val="32"/>
          <w:szCs w:val="32"/>
          <w:highlight w:val="none"/>
        </w:rPr>
        <w:br w:type="page"/>
      </w:r>
      <w:r>
        <w:rPr>
          <w:rFonts w:eastAsia="黑体"/>
          <w:sz w:val="32"/>
          <w:szCs w:val="32"/>
          <w:highlight w:val="none"/>
        </w:rPr>
        <w:t xml:space="preserve"> </w:t>
      </w:r>
      <w:r>
        <w:rPr>
          <w:rFonts w:eastAsia="黑体"/>
          <w:bCs/>
          <w:sz w:val="32"/>
          <w:szCs w:val="32"/>
          <w:highlight w:val="none"/>
        </w:rPr>
        <w:t>一、企业基本信息</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center"/>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（一）联合体牵头单位的基本情况</w:t>
            </w:r>
          </w:p>
          <w:p>
            <w:pPr>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（重点体现联合体牵头单位的行业领军地位，包括企业的资产规模及财务状况、主要产品的市场占有率、主要产品/技术/标准的国内外领先水平、标准制定基础，以及绿色制造相关工作基础等）</w:t>
            </w:r>
          </w:p>
          <w:p>
            <w:pPr>
              <w:jc w:val="left"/>
              <w:rPr>
                <w:sz w:val="24"/>
                <w:szCs w:val="24"/>
                <w:highlight w:val="none"/>
              </w:rPr>
            </w:pPr>
          </w:p>
          <w:p>
            <w:pPr>
              <w:jc w:val="left"/>
              <w:rPr>
                <w:sz w:val="24"/>
                <w:szCs w:val="24"/>
                <w:highlight w:val="none"/>
              </w:rPr>
            </w:pPr>
          </w:p>
          <w:p>
            <w:pPr>
              <w:jc w:val="left"/>
              <w:rPr>
                <w:rFonts w:eastAsia="黑体"/>
                <w:bCs/>
                <w:sz w:val="32"/>
                <w:szCs w:val="32"/>
                <w:highlight w:val="none"/>
              </w:rPr>
            </w:pPr>
          </w:p>
          <w:p>
            <w:pPr>
              <w:jc w:val="left"/>
              <w:rPr>
                <w:rFonts w:eastAsia="黑体"/>
                <w:bCs/>
                <w:sz w:val="32"/>
                <w:szCs w:val="32"/>
                <w:highlight w:val="none"/>
              </w:rPr>
            </w:pPr>
          </w:p>
          <w:p>
            <w:pPr>
              <w:jc w:val="left"/>
              <w:rPr>
                <w:rFonts w:eastAsia="黑体"/>
                <w:bCs/>
                <w:sz w:val="32"/>
                <w:szCs w:val="32"/>
                <w:highlight w:val="none"/>
              </w:rPr>
            </w:pPr>
          </w:p>
          <w:p>
            <w:pPr>
              <w:jc w:val="left"/>
              <w:rPr>
                <w:rFonts w:eastAsia="黑体"/>
                <w:bCs/>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center"/>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bCs w:val="0"/>
                <w:sz w:val="28"/>
                <w:szCs w:val="28"/>
                <w:highlight w:val="none"/>
              </w:rPr>
              <w:t>（二）联合体成员单位的基本情况</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（简要阐述联合体各成员单位的行业地位、经营状况、技术水平，以及绿色制造相关工作基础等</w:t>
            </w:r>
            <w:r>
              <w:rPr>
                <w:rFonts w:hint="eastAsia" w:ascii="仿宋_GB2312" w:hAnsi="仿宋_GB2312" w:eastAsia="仿宋_GB2312" w:cs="仿宋_GB2312"/>
                <w:sz w:val="24"/>
                <w:szCs w:val="24"/>
                <w:highlight w:val="none"/>
              </w:rPr>
              <w:t>，</w:t>
            </w:r>
            <w:r>
              <w:rPr>
                <w:rFonts w:hint="default" w:ascii="仿宋_GB2312" w:hAnsi="仿宋_GB2312" w:eastAsia="仿宋_GB2312" w:cs="仿宋_GB2312"/>
                <w:sz w:val="24"/>
                <w:szCs w:val="24"/>
                <w:highlight w:val="none"/>
              </w:rPr>
              <w:t>联合体单位应为实施项目深度参与单位，牵头单位加强对联合体单位的管理和约束，</w:t>
            </w:r>
            <w:r>
              <w:rPr>
                <w:rFonts w:hint="eastAsia" w:ascii="黑体" w:hAnsi="黑体" w:eastAsia="黑体" w:cs="黑体"/>
                <w:sz w:val="24"/>
                <w:szCs w:val="24"/>
                <w:highlight w:val="none"/>
              </w:rPr>
              <w:t>不得纳入与达成联合体实施目标无直接关系或关联度不高的成员单位</w:t>
            </w:r>
            <w:r>
              <w:rPr>
                <w:rFonts w:ascii="仿宋_GB2312" w:hAnsi="仿宋_GB2312" w:eastAsia="仿宋_GB2312" w:cs="仿宋_GB2312"/>
                <w:sz w:val="24"/>
                <w:szCs w:val="24"/>
                <w:highlight w:val="none"/>
              </w:rPr>
              <w:t>）</w:t>
            </w: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rFonts w:eastAsia="黑体"/>
                <w:bCs/>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center"/>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（三）项目联合体的组织方式</w:t>
            </w:r>
          </w:p>
          <w:p>
            <w:pPr>
              <w:snapToGrid w:val="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（项目联合体的组织方式和合作机制，产学研用结合，创新人才队伍的建设和培养等；相关内容与附件中的联合</w:t>
            </w:r>
            <w:r>
              <w:rPr>
                <w:rFonts w:hint="eastAsia" w:ascii="仿宋_GB2312" w:hAnsi="仿宋_GB2312" w:eastAsia="仿宋_GB2312" w:cs="仿宋_GB2312"/>
                <w:sz w:val="24"/>
                <w:szCs w:val="24"/>
                <w:highlight w:val="none"/>
              </w:rPr>
              <w:t>体</w:t>
            </w:r>
            <w:r>
              <w:rPr>
                <w:rFonts w:ascii="仿宋_GB2312" w:hAnsi="仿宋_GB2312" w:eastAsia="仿宋_GB2312" w:cs="仿宋_GB2312"/>
                <w:sz w:val="24"/>
                <w:szCs w:val="24"/>
                <w:highlight w:val="none"/>
              </w:rPr>
              <w:t>协议相对应）</w:t>
            </w: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tc>
      </w:tr>
    </w:tbl>
    <w:p>
      <w:pPr>
        <w:ind w:firstLine="0" w:firstLineChars="0"/>
        <w:jc w:val="left"/>
        <w:rPr>
          <w:rFonts w:eastAsia="黑体"/>
          <w:bCs/>
          <w:sz w:val="32"/>
          <w:szCs w:val="32"/>
          <w:highlight w:val="none"/>
        </w:rPr>
      </w:pPr>
      <w:r>
        <w:rPr>
          <w:rFonts w:eastAsia="黑体"/>
          <w:bCs/>
          <w:sz w:val="32"/>
          <w:szCs w:val="32"/>
          <w:highlight w:val="none"/>
        </w:rPr>
        <w:t xml:space="preserve"> 二、总体思路及目标</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（一）开展绿色制造系统集成工作的总体思路</w:t>
            </w: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（二）项目实施总体目标</w:t>
            </w:r>
          </w:p>
          <w:p>
            <w:pPr>
              <w:snapToGrid w:val="0"/>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（项目预期解决的绿色发展关键问题，项目对引领行业绿色发展、促进区域绿色转型、提高绿色国际竞争力的推动作用和积极影响等）</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bl>
    <w:p>
      <w:pPr>
        <w:ind w:firstLine="605" w:firstLineChars="189"/>
        <w:jc w:val="left"/>
        <w:rPr>
          <w:rFonts w:eastAsia="黑体"/>
          <w:bCs/>
          <w:sz w:val="32"/>
          <w:szCs w:val="32"/>
          <w:highlight w:val="none"/>
        </w:rPr>
        <w:sectPr>
          <w:headerReference r:id="rId4" w:type="default"/>
          <w:footerReference r:id="rId5" w:type="default"/>
          <w:pgSz w:w="11906" w:h="16838"/>
          <w:pgMar w:top="1417" w:right="1701" w:bottom="1417" w:left="1701" w:header="851" w:footer="992" w:gutter="0"/>
          <w:paperSrc w:first="0" w:other="0"/>
          <w:pgNumType w:fmt="decimal"/>
          <w:cols w:space="720" w:num="1"/>
          <w:rtlGutter w:val="0"/>
          <w:docGrid w:type="lines" w:linePitch="322" w:charSpace="0"/>
        </w:sectPr>
      </w:pPr>
    </w:p>
    <w:p>
      <w:pPr>
        <w:snapToGrid w:val="0"/>
        <w:spacing w:line="400" w:lineRule="exact"/>
        <w:jc w:val="left"/>
        <w:rPr>
          <w:b/>
          <w:sz w:val="16"/>
          <w:szCs w:val="16"/>
          <w:highlight w:val="none"/>
        </w:rPr>
      </w:pPr>
      <w:r>
        <w:rPr>
          <w:rFonts w:hint="default" w:ascii="楷体_GB2312" w:hAnsi="楷体_GB2312" w:eastAsia="楷体_GB2312" w:cs="楷体_GB2312"/>
          <w:b/>
          <w:sz w:val="28"/>
          <w:szCs w:val="28"/>
          <w:highlight w:val="none"/>
        </w:rPr>
        <w:t xml:space="preserve"> </w:t>
      </w:r>
      <w:r>
        <w:rPr>
          <w:rFonts w:hint="eastAsia" w:ascii="方正楷体_GBK" w:hAnsi="方正楷体_GBK" w:eastAsia="方正楷体_GBK" w:cs="方正楷体_GBK"/>
          <w:b/>
          <w:sz w:val="28"/>
          <w:szCs w:val="28"/>
          <w:highlight w:val="none"/>
        </w:rPr>
        <w:t>（三）考核指标</w:t>
      </w:r>
      <w:r>
        <w:rPr>
          <w:rFonts w:hint="eastAsia" w:ascii="仿宋_GB2312" w:hAnsi="仿宋_GB2312" w:eastAsia="仿宋_GB2312" w:cs="仿宋_GB2312"/>
          <w:sz w:val="24"/>
          <w:szCs w:val="24"/>
          <w:highlight w:val="none"/>
        </w:rPr>
        <w:t>（以表格化方式明确列示3项评价指标具体的测算过程和测算依据，且期初期末测算方法须保持一致）</w:t>
      </w:r>
    </w:p>
    <w:tbl>
      <w:tblPr>
        <w:tblStyle w:val="7"/>
        <w:tblW w:w="14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377"/>
        <w:gridCol w:w="1151"/>
        <w:gridCol w:w="1635"/>
        <w:gridCol w:w="1012"/>
        <w:gridCol w:w="1979"/>
        <w:gridCol w:w="978"/>
        <w:gridCol w:w="2134"/>
        <w:gridCol w:w="576"/>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377"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序号</w:t>
            </w:r>
          </w:p>
        </w:tc>
        <w:tc>
          <w:tcPr>
            <w:tcW w:w="377"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指标</w:t>
            </w:r>
          </w:p>
        </w:tc>
        <w:tc>
          <w:tcPr>
            <w:tcW w:w="1151"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绩效考核</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目标值</w:t>
            </w:r>
          </w:p>
        </w:tc>
        <w:tc>
          <w:tcPr>
            <w:tcW w:w="1635"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测算公式</w:t>
            </w:r>
          </w:p>
        </w:tc>
        <w:tc>
          <w:tcPr>
            <w:tcW w:w="1012"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基期值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（2017年）</w:t>
            </w:r>
          </w:p>
        </w:tc>
        <w:tc>
          <w:tcPr>
            <w:tcW w:w="1979"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基期值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相关要素</w:t>
            </w:r>
          </w:p>
        </w:tc>
        <w:tc>
          <w:tcPr>
            <w:tcW w:w="978"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预期值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（2020年）</w:t>
            </w:r>
          </w:p>
        </w:tc>
        <w:tc>
          <w:tcPr>
            <w:tcW w:w="2134"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预期值</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相关要素</w:t>
            </w:r>
          </w:p>
        </w:tc>
        <w:tc>
          <w:tcPr>
            <w:tcW w:w="576"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测算</w:t>
            </w:r>
          </w:p>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依据</w:t>
            </w:r>
          </w:p>
        </w:tc>
        <w:tc>
          <w:tcPr>
            <w:tcW w:w="4018" w:type="dxa"/>
            <w:vAlign w:val="center"/>
          </w:tcPr>
          <w:p>
            <w:pPr>
              <w:snapToGrid w:val="0"/>
              <w:jc w:val="center"/>
              <w:rPr>
                <w:rFonts w:hint="eastAsia" w:ascii="黑体" w:hAnsi="黑体" w:eastAsia="黑体" w:cs="黑体"/>
                <w:bCs/>
                <w:sz w:val="15"/>
                <w:szCs w:val="15"/>
                <w:highlight w:val="none"/>
              </w:rPr>
            </w:pPr>
            <w:r>
              <w:rPr>
                <w:rFonts w:hint="eastAsia" w:ascii="黑体" w:hAnsi="黑体" w:eastAsia="黑体" w:cs="黑体"/>
                <w:bCs/>
                <w:sz w:val="15"/>
                <w:szCs w:val="15"/>
                <w:highlight w:val="none"/>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377" w:type="dxa"/>
            <w:vAlign w:val="center"/>
          </w:tcPr>
          <w:p>
            <w:pPr>
              <w:snapToGrid w:val="0"/>
              <w:jc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1</w:t>
            </w:r>
          </w:p>
        </w:tc>
        <w:tc>
          <w:tcPr>
            <w:tcW w:w="377"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制造技术绿色化率</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w:t>
            </w:r>
          </w:p>
        </w:tc>
        <w:tc>
          <w:tcPr>
            <w:tcW w:w="1151"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目标要求：</w:t>
            </w:r>
            <w:r>
              <w:rPr>
                <w:rFonts w:hint="eastAsia" w:ascii="仿宋_GB2312" w:hAnsi="仿宋_GB2312" w:eastAsia="仿宋_GB2312" w:cs="仿宋_GB2312"/>
                <w:sz w:val="15"/>
                <w:szCs w:val="15"/>
                <w:highlight w:val="none"/>
              </w:rPr>
              <w:t>制造技术绿色化率提高20个百分点或达到90%以上</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kern w:val="0"/>
                <w:sz w:val="15"/>
                <w:szCs w:val="15"/>
                <w:highlight w:val="none"/>
              </w:rPr>
              <w:t>（请填报项目绩效考核目标值，绩效考核指标应达到上述要求，下同）</w:t>
            </w:r>
          </w:p>
        </w:tc>
        <w:tc>
          <w:tcPr>
            <w:tcW w:w="1635" w:type="dxa"/>
            <w:vAlign w:val="center"/>
          </w:tcPr>
          <w:p>
            <w:pPr>
              <w:widowControl/>
              <w:snapToGrid w:val="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制造技术绿色化率A=（A1+A2）/2×100%</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其中：</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A1=绿色技术改造资金投入/技术改造资金总投入；</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A2=已实施绿色化改造的工序环节个数/全部工序环节个数。</w:t>
            </w:r>
          </w:p>
        </w:tc>
        <w:tc>
          <w:tcPr>
            <w:tcW w:w="1012"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b/>
                <w:bCs/>
                <w:kern w:val="0"/>
                <w:sz w:val="15"/>
                <w:szCs w:val="15"/>
                <w:highlight w:val="none"/>
              </w:rPr>
              <w:t>（基期值不为零，新建项目应参考行业平均水平，下同）</w:t>
            </w:r>
          </w:p>
        </w:tc>
        <w:tc>
          <w:tcPr>
            <w:tcW w:w="1979"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绿色技术改造资金投入=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技术改造资金总投入=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已实施绿色化改造的工序环节个数=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全部工序环节个数=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A2=</w:t>
            </w:r>
          </w:p>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b/>
                <w:bCs/>
                <w:kern w:val="0"/>
                <w:sz w:val="15"/>
                <w:szCs w:val="15"/>
                <w:highlight w:val="none"/>
              </w:rPr>
            </w:pPr>
            <w:r>
              <w:rPr>
                <w:rFonts w:hint="eastAsia" w:ascii="仿宋_GB2312" w:hAnsi="仿宋_GB2312" w:eastAsia="仿宋_GB2312" w:cs="仿宋_GB2312"/>
                <w:b/>
                <w:bCs/>
                <w:kern w:val="0"/>
                <w:sz w:val="15"/>
                <w:szCs w:val="15"/>
                <w:highlight w:val="none"/>
              </w:rPr>
              <w:t>（请填报上述各项，下同）</w:t>
            </w:r>
          </w:p>
        </w:tc>
        <w:tc>
          <w:tcPr>
            <w:tcW w:w="978"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w:t>
            </w:r>
          </w:p>
          <w:p>
            <w:pPr>
              <w:widowControl/>
              <w:snapToGrid w:val="0"/>
              <w:rPr>
                <w:rFonts w:hint="eastAsia" w:ascii="仿宋_GB2312" w:hAnsi="仿宋_GB2312" w:eastAsia="仿宋_GB2312" w:cs="仿宋_GB2312"/>
                <w:kern w:val="0"/>
                <w:sz w:val="15"/>
                <w:szCs w:val="15"/>
                <w:highlight w:val="none"/>
              </w:rPr>
            </w:pPr>
          </w:p>
        </w:tc>
        <w:tc>
          <w:tcPr>
            <w:tcW w:w="2134"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绿色技术改造资金投入=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技术改造资金总投入=</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已实施绿色化改造的工序环节个数=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全部工序环节个数=</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A2=</w:t>
            </w:r>
          </w:p>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b/>
                <w:bCs/>
                <w:kern w:val="0"/>
                <w:sz w:val="15"/>
                <w:szCs w:val="15"/>
                <w:highlight w:val="none"/>
              </w:rPr>
            </w:pPr>
            <w:r>
              <w:rPr>
                <w:rFonts w:hint="eastAsia" w:ascii="仿宋_GB2312" w:hAnsi="仿宋_GB2312" w:eastAsia="仿宋_GB2312" w:cs="仿宋_GB2312"/>
                <w:b/>
                <w:bCs/>
                <w:kern w:val="0"/>
                <w:sz w:val="15"/>
                <w:szCs w:val="15"/>
                <w:highlight w:val="none"/>
              </w:rPr>
              <w:t>（请填报上述各项，下同）</w:t>
            </w:r>
          </w:p>
        </w:tc>
        <w:tc>
          <w:tcPr>
            <w:tcW w:w="576"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（需提供详细测算依据及具体的测算过程）</w:t>
            </w:r>
          </w:p>
        </w:tc>
        <w:tc>
          <w:tcPr>
            <w:tcW w:w="4018" w:type="dxa"/>
            <w:vAlign w:val="center"/>
          </w:tcPr>
          <w:p>
            <w:pPr>
              <w:widowControl/>
              <w:numPr>
                <w:ilvl w:val="0"/>
                <w:numId w:val="1"/>
              </w:num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A1、A2采用的绿色技术应选自省级以上政府相关部门发布的节能节水技术推荐目录、重大环保技术装备目录、清洁生产技术目录或推行方案、资源综合利用及再制造先进适用技术装备目录等相关绿色制造技术目录，或经国家级行业协会等认定的绿色制造新技术等。</w:t>
            </w:r>
          </w:p>
          <w:p>
            <w:pPr>
              <w:widowControl/>
              <w:numPr>
                <w:ilvl w:val="0"/>
                <w:numId w:val="1"/>
              </w:num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绿色技术改造资金投入、技术改造资金总投入由企业相关投资报表计算得出，基期值测算时均取2017年当年值，预期值测算时取实施期（三年）累计值。</w:t>
            </w:r>
          </w:p>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3.已实施绿色化改造的工序环节个数的基期值和预期值分别指截至2017年底和实施期末的累计情况；全部工序环节个数由企业根据行业特点及本企业生产工艺布局情况合理确定，工序划分期初、期末应保持一致。</w:t>
            </w:r>
          </w:p>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b/>
                <w:bCs/>
                <w:sz w:val="15"/>
                <w:szCs w:val="15"/>
                <w:highlight w:val="none"/>
              </w:rPr>
              <w:t>（无上述依据的应提供比照前述原则的行业分析报告、鉴定材料等，并作详细采用说明，下同）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tblHeader/>
          <w:jc w:val="center"/>
        </w:trPr>
        <w:tc>
          <w:tcPr>
            <w:tcW w:w="377" w:type="dxa"/>
            <w:vAlign w:val="center"/>
          </w:tcPr>
          <w:p>
            <w:pPr>
              <w:snapToGrid w:val="0"/>
              <w:jc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2</w:t>
            </w:r>
          </w:p>
        </w:tc>
        <w:tc>
          <w:tcPr>
            <w:tcW w:w="377"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制造过程绿色化率</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w:t>
            </w:r>
          </w:p>
        </w:tc>
        <w:tc>
          <w:tcPr>
            <w:tcW w:w="1151"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目标要求：</w:t>
            </w:r>
            <w:r>
              <w:rPr>
                <w:rFonts w:hint="eastAsia" w:ascii="仿宋_GB2312" w:hAnsi="仿宋_GB2312" w:eastAsia="仿宋_GB2312" w:cs="仿宋_GB2312"/>
                <w:sz w:val="15"/>
                <w:szCs w:val="15"/>
                <w:highlight w:val="none"/>
              </w:rPr>
              <w:t>制造过程绿色化率提高20个百分点</w:t>
            </w:r>
          </w:p>
        </w:tc>
        <w:tc>
          <w:tcPr>
            <w:tcW w:w="1635" w:type="dxa"/>
            <w:vAlign w:val="center"/>
          </w:tcPr>
          <w:p>
            <w:pPr>
              <w:widowControl/>
              <w:snapToGrid w:val="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制造过程绿色化率B=（B1+B2+B3）/3×100%</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其中：</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B1=绿色物料使用量/同类物料总使用量；</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B2=高效节能装备使用量/同类装备总使用量；</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B3=绿色产品产值/企业总产值。</w:t>
            </w:r>
          </w:p>
        </w:tc>
        <w:tc>
          <w:tcPr>
            <w:tcW w:w="1012"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w:t>
            </w:r>
          </w:p>
          <w:p>
            <w:pPr>
              <w:widowControl/>
              <w:snapToGrid w:val="0"/>
              <w:rPr>
                <w:rFonts w:hint="eastAsia" w:ascii="仿宋_GB2312" w:hAnsi="仿宋_GB2312" w:eastAsia="仿宋_GB2312" w:cs="仿宋_GB2312"/>
                <w:kern w:val="0"/>
                <w:sz w:val="15"/>
                <w:szCs w:val="15"/>
                <w:highlight w:val="none"/>
              </w:rPr>
            </w:pPr>
          </w:p>
        </w:tc>
        <w:tc>
          <w:tcPr>
            <w:tcW w:w="1979"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高效节能装备使用量=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同类装备总使用量=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绿色产品产值=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企业总产值=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B3=</w:t>
            </w:r>
          </w:p>
        </w:tc>
        <w:tc>
          <w:tcPr>
            <w:tcW w:w="978"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w:t>
            </w:r>
          </w:p>
          <w:p>
            <w:pPr>
              <w:widowControl/>
              <w:snapToGrid w:val="0"/>
              <w:rPr>
                <w:rFonts w:hint="eastAsia" w:ascii="仿宋_GB2312" w:hAnsi="仿宋_GB2312" w:eastAsia="仿宋_GB2312" w:cs="仿宋_GB2312"/>
                <w:kern w:val="0"/>
                <w:sz w:val="15"/>
                <w:szCs w:val="15"/>
                <w:highlight w:val="none"/>
              </w:rPr>
            </w:pPr>
          </w:p>
        </w:tc>
        <w:tc>
          <w:tcPr>
            <w:tcW w:w="2134"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同类物料使用量=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高效节能装备使用量=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同类装备总使用量=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绿色产品产值=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企业总产值=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B3=</w:t>
            </w:r>
          </w:p>
        </w:tc>
        <w:tc>
          <w:tcPr>
            <w:tcW w:w="576" w:type="dxa"/>
            <w:vAlign w:val="center"/>
          </w:tcPr>
          <w:p>
            <w:pPr>
              <w:widowControl/>
              <w:snapToGrid w:val="0"/>
              <w:rPr>
                <w:rFonts w:hint="eastAsia" w:ascii="仿宋_GB2312" w:hAnsi="仿宋_GB2312" w:eastAsia="仿宋_GB2312" w:cs="仿宋_GB2312"/>
                <w:kern w:val="0"/>
                <w:sz w:val="15"/>
                <w:szCs w:val="15"/>
                <w:highlight w:val="none"/>
              </w:rPr>
            </w:pPr>
          </w:p>
        </w:tc>
        <w:tc>
          <w:tcPr>
            <w:tcW w:w="4018" w:type="dxa"/>
            <w:vAlign w:val="center"/>
          </w:tcPr>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1.绿色物料应选自省级以上政府相关部门发布的资源综合利用产品目录、有毒有害原料（产品）替代目录等，或利用再生资源及产业废弃物等作为原料；使用量根据物料台账测算。</w:t>
            </w:r>
          </w:p>
          <w:p>
            <w:pPr>
              <w:snapToGrid w:val="0"/>
              <w:spacing w:beforeLines="0" w:afterLines="0" w:line="180" w:lineRule="exac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2.高效节能装备包括高效锅炉窑炉、高效电机、变压器及再制造机电设备等，应列入节能机电设备（产品）推荐目录、能效之星产品目录、再制造产品目录等国家级、省级节能产品设备目录。使用量根据设备台账测算。</w:t>
            </w:r>
          </w:p>
          <w:p>
            <w:pPr>
              <w:snapToGrid w:val="0"/>
              <w:spacing w:beforeLines="0" w:afterLines="0" w:line="180" w:lineRule="exac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3.绿色产品包括已通过认证的节能节水低碳产品等，以及经省级以上政府相关部门评价认定的绿色（生态）设计产品，能效、环保、水效领跑产品，资源综合利用产品和再制造产品等。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blHeader/>
          <w:jc w:val="center"/>
        </w:trPr>
        <w:tc>
          <w:tcPr>
            <w:tcW w:w="377" w:type="dxa"/>
            <w:vAlign w:val="center"/>
          </w:tcPr>
          <w:p>
            <w:pPr>
              <w:snapToGrid w:val="0"/>
              <w:jc w:val="center"/>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3</w:t>
            </w:r>
          </w:p>
        </w:tc>
        <w:tc>
          <w:tcPr>
            <w:tcW w:w="377"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资源环境影响度</w:t>
            </w:r>
          </w:p>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sz w:val="15"/>
                <w:szCs w:val="15"/>
                <w:highlight w:val="none"/>
              </w:rPr>
              <w:t>%</w:t>
            </w:r>
          </w:p>
        </w:tc>
        <w:tc>
          <w:tcPr>
            <w:tcW w:w="1151" w:type="dxa"/>
            <w:vAlign w:val="center"/>
          </w:tcPr>
          <w:p>
            <w:pPr>
              <w:snapToGrid w:val="0"/>
              <w:rPr>
                <w:rFonts w:hint="eastAsia" w:ascii="仿宋_GB2312" w:hAnsi="仿宋_GB2312" w:eastAsia="仿宋_GB2312" w:cs="仿宋_GB2312"/>
                <w:sz w:val="15"/>
                <w:szCs w:val="15"/>
                <w:highlight w:val="none"/>
              </w:rPr>
            </w:pPr>
            <w:r>
              <w:rPr>
                <w:rFonts w:hint="eastAsia" w:ascii="仿宋_GB2312" w:hAnsi="仿宋_GB2312" w:eastAsia="仿宋_GB2312" w:cs="仿宋_GB2312"/>
                <w:b/>
                <w:bCs/>
                <w:sz w:val="15"/>
                <w:szCs w:val="15"/>
                <w:highlight w:val="none"/>
              </w:rPr>
              <w:t>目标要求：</w:t>
            </w:r>
            <w:r>
              <w:rPr>
                <w:rFonts w:hint="eastAsia" w:ascii="仿宋_GB2312" w:hAnsi="仿宋_GB2312" w:eastAsia="仿宋_GB2312" w:cs="仿宋_GB2312"/>
                <w:sz w:val="15"/>
                <w:szCs w:val="15"/>
                <w:highlight w:val="none"/>
              </w:rPr>
              <w:t>绿色制造资源环境影响度下降15个百分点或低于90%</w:t>
            </w:r>
          </w:p>
        </w:tc>
        <w:tc>
          <w:tcPr>
            <w:tcW w:w="1635" w:type="dxa"/>
            <w:vAlign w:val="center"/>
          </w:tcPr>
          <w:p>
            <w:pPr>
              <w:widowControl/>
              <w:snapToGrid w:val="0"/>
              <w:jc w:val="left"/>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绿色制造资源环境影响度C=（C1+C2+C3）/3×100%</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C1=单位产品综合能耗/行业基准值；</w:t>
            </w:r>
          </w:p>
          <w:p>
            <w:pPr>
              <w:snapToGrid w:val="0"/>
              <w:jc w:val="left"/>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C2=单位产品取水量/行业基准值；</w:t>
            </w:r>
            <w:r>
              <w:rPr>
                <w:rFonts w:hint="eastAsia" w:ascii="仿宋_GB2312" w:hAnsi="仿宋_GB2312" w:eastAsia="仿宋_GB2312" w:cs="仿宋_GB2312"/>
                <w:kern w:val="0"/>
                <w:sz w:val="15"/>
                <w:szCs w:val="15"/>
                <w:highlight w:val="none"/>
              </w:rPr>
              <w:br/>
            </w:r>
            <w:r>
              <w:rPr>
                <w:rFonts w:hint="eastAsia" w:ascii="仿宋_GB2312" w:hAnsi="仿宋_GB2312" w:eastAsia="仿宋_GB2312" w:cs="仿宋_GB2312"/>
                <w:kern w:val="0"/>
                <w:sz w:val="15"/>
                <w:szCs w:val="15"/>
                <w:highlight w:val="none"/>
              </w:rPr>
              <w:t>C3=单位产品污染物产生量/行业基准值。</w:t>
            </w:r>
          </w:p>
        </w:tc>
        <w:tc>
          <w:tcPr>
            <w:tcW w:w="1012"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w:t>
            </w:r>
          </w:p>
          <w:p>
            <w:pPr>
              <w:widowControl/>
              <w:snapToGrid w:val="0"/>
              <w:rPr>
                <w:rFonts w:hint="eastAsia" w:ascii="仿宋_GB2312" w:hAnsi="仿宋_GB2312" w:eastAsia="仿宋_GB2312" w:cs="仿宋_GB2312"/>
                <w:kern w:val="0"/>
                <w:sz w:val="15"/>
                <w:szCs w:val="15"/>
                <w:highlight w:val="none"/>
              </w:rPr>
            </w:pPr>
          </w:p>
        </w:tc>
        <w:tc>
          <w:tcPr>
            <w:tcW w:w="1979"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单位产品综合能耗=</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单位产品取水量=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单位产品污染物产生量=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C3=</w:t>
            </w:r>
          </w:p>
        </w:tc>
        <w:tc>
          <w:tcPr>
            <w:tcW w:w="978" w:type="dxa"/>
            <w:vAlign w:val="center"/>
          </w:tcPr>
          <w:p>
            <w:pPr>
              <w:widowControl/>
              <w:snapToGrid w:val="0"/>
              <w:rPr>
                <w:rFonts w:hint="eastAsia" w:ascii="仿宋_GB2312" w:hAnsi="仿宋_GB2312" w:eastAsia="仿宋_GB2312" w:cs="仿宋_GB2312"/>
                <w:kern w:val="0"/>
                <w:sz w:val="15"/>
                <w:szCs w:val="15"/>
                <w:highlight w:val="none"/>
              </w:rPr>
            </w:pP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w:t>
            </w:r>
          </w:p>
          <w:p>
            <w:pPr>
              <w:widowControl/>
              <w:snapToGrid w:val="0"/>
              <w:rPr>
                <w:rFonts w:hint="eastAsia" w:ascii="仿宋_GB2312" w:hAnsi="仿宋_GB2312" w:eastAsia="仿宋_GB2312" w:cs="仿宋_GB2312"/>
                <w:kern w:val="0"/>
                <w:sz w:val="15"/>
                <w:szCs w:val="15"/>
                <w:highlight w:val="none"/>
              </w:rPr>
            </w:pPr>
          </w:p>
        </w:tc>
        <w:tc>
          <w:tcPr>
            <w:tcW w:w="2134" w:type="dxa"/>
            <w:vAlign w:val="center"/>
          </w:tcPr>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其中：</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单位产品综合能耗=</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C1=</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单位产品取水量=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C2=</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单位产品污染物产生量=</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行业基准值=</w:t>
            </w:r>
          </w:p>
          <w:p>
            <w:pPr>
              <w:widowControl/>
              <w:snapToGrid w:val="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C3=</w:t>
            </w:r>
          </w:p>
        </w:tc>
        <w:tc>
          <w:tcPr>
            <w:tcW w:w="576" w:type="dxa"/>
            <w:vAlign w:val="center"/>
          </w:tcPr>
          <w:p>
            <w:pPr>
              <w:widowControl/>
              <w:snapToGrid w:val="0"/>
              <w:rPr>
                <w:rFonts w:hint="eastAsia" w:ascii="仿宋_GB2312" w:hAnsi="仿宋_GB2312" w:eastAsia="仿宋_GB2312" w:cs="仿宋_GB2312"/>
                <w:kern w:val="0"/>
                <w:sz w:val="15"/>
                <w:szCs w:val="15"/>
                <w:highlight w:val="none"/>
              </w:rPr>
            </w:pPr>
          </w:p>
        </w:tc>
        <w:tc>
          <w:tcPr>
            <w:tcW w:w="4018" w:type="dxa"/>
            <w:vAlign w:val="center"/>
          </w:tcPr>
          <w:p>
            <w:pPr>
              <w:pStyle w:val="8"/>
              <w:spacing w:beforeLines="0" w:afterLines="0" w:line="180" w:lineRule="exact"/>
              <w:ind w:firstLine="0" w:firstLineChars="0"/>
              <w:rPr>
                <w:rFonts w:hint="eastAsia" w:ascii="仿宋_GB2312" w:hAnsi="仿宋_GB2312" w:eastAsia="仿宋_GB2312" w:cs="仿宋_GB2312"/>
                <w:kern w:val="0"/>
                <w:sz w:val="15"/>
                <w:szCs w:val="15"/>
                <w:highlight w:val="none"/>
              </w:rPr>
            </w:pPr>
            <w:r>
              <w:rPr>
                <w:rFonts w:hint="eastAsia" w:ascii="仿宋_GB2312" w:hAnsi="仿宋_GB2312" w:eastAsia="仿宋_GB2312" w:cs="仿宋_GB2312"/>
                <w:kern w:val="0"/>
                <w:sz w:val="15"/>
                <w:szCs w:val="15"/>
                <w:highlight w:val="none"/>
              </w:rPr>
              <w:t>1.能耗、水耗的行业基准值根据国家发布的单位产品能耗限额标准、取水定额标准的先进值等选定。未发布国家标准的，可依序选用行业标准、地方标准或省级以上政府相关部门发布的行业领跑（标杆）值等。</w:t>
            </w:r>
          </w:p>
          <w:p>
            <w:pPr>
              <w:pStyle w:val="8"/>
              <w:spacing w:beforeLines="0" w:afterLines="0" w:line="180" w:lineRule="exact"/>
              <w:ind w:firstLine="0" w:firstLineChars="0"/>
              <w:rPr>
                <w:rFonts w:hint="eastAsia" w:ascii="仿宋_GB2312" w:hAnsi="仿宋_GB2312" w:eastAsia="仿宋_GB2312" w:cs="仿宋_GB2312"/>
                <w:kern w:val="0"/>
                <w:sz w:val="15"/>
                <w:szCs w:val="15"/>
                <w:highlight w:val="none"/>
              </w:rPr>
            </w:pPr>
            <w:r>
              <w:rPr>
                <w:rFonts w:hint="default" w:ascii="仿宋_GB2312" w:hAnsi="仿宋_GB2312" w:eastAsia="仿宋_GB2312" w:cs="仿宋_GB2312"/>
                <w:kern w:val="0"/>
                <w:sz w:val="15"/>
                <w:szCs w:val="15"/>
                <w:highlight w:val="none"/>
              </w:rPr>
              <w:t>2.</w:t>
            </w:r>
            <w:r>
              <w:rPr>
                <w:rFonts w:hint="eastAsia" w:ascii="仿宋_GB2312" w:hAnsi="仿宋_GB2312" w:eastAsia="仿宋_GB2312" w:cs="仿宋_GB2312"/>
                <w:kern w:val="0"/>
                <w:sz w:val="15"/>
                <w:szCs w:val="15"/>
                <w:highlight w:val="none"/>
              </w:rPr>
              <w:t>污染物产生量的行业基准值依照行业清洁生产评价指标体系或行业清洁生产标准的I级基准值选定。无相关标准的，参照工业源产排污系数手册确定。污染物类型依据清洁生产标准和行业特点选定。</w:t>
            </w:r>
          </w:p>
          <w:p>
            <w:pPr>
              <w:pStyle w:val="8"/>
              <w:spacing w:beforeLines="0" w:afterLines="0" w:line="180" w:lineRule="exact"/>
              <w:ind w:firstLine="0" w:firstLineChars="0"/>
              <w:rPr>
                <w:rFonts w:hint="eastAsia" w:ascii="仿宋_GB2312" w:hAnsi="仿宋_GB2312" w:eastAsia="仿宋_GB2312" w:cs="仿宋_GB2312"/>
                <w:sz w:val="15"/>
                <w:szCs w:val="15"/>
                <w:highlight w:val="none"/>
              </w:rPr>
            </w:pPr>
            <w:r>
              <w:rPr>
                <w:rFonts w:hint="eastAsia" w:ascii="仿宋_GB2312" w:hAnsi="仿宋_GB2312" w:eastAsia="仿宋_GB2312" w:cs="仿宋_GB2312"/>
                <w:kern w:val="0"/>
                <w:sz w:val="15"/>
                <w:szCs w:val="15"/>
                <w:highlight w:val="none"/>
              </w:rPr>
              <w:t>3.单位产品能耗、水耗根据企业物料台账及相关内部统计数据计算得出，单位产品污染物产生量根据环保监测或清洁生产审核数据核算。</w:t>
            </w:r>
          </w:p>
        </w:tc>
      </w:tr>
    </w:tbl>
    <w:p>
      <w:pPr>
        <w:snapToGrid w:val="0"/>
        <w:rPr>
          <w:rFonts w:hint="eastAsia" w:ascii="仿宋_GB2312" w:hAnsi="仿宋_GB2312" w:eastAsia="仿宋_GB2312" w:cs="仿宋_GB2312"/>
          <w:sz w:val="16"/>
          <w:szCs w:val="16"/>
          <w:highlight w:val="none"/>
        </w:rPr>
      </w:pPr>
      <w:r>
        <w:rPr>
          <w:rFonts w:hint="default" w:ascii="仿宋_GB2312" w:hAnsi="仿宋_GB2312" w:eastAsia="仿宋_GB2312" w:cs="仿宋_GB2312"/>
          <w:sz w:val="16"/>
          <w:szCs w:val="16"/>
          <w:highlight w:val="none"/>
        </w:rPr>
        <w:t xml:space="preserve">  </w:t>
      </w:r>
      <w:r>
        <w:rPr>
          <w:rFonts w:hint="eastAsia" w:ascii="仿宋_GB2312" w:hAnsi="仿宋_GB2312" w:eastAsia="仿宋_GB2312" w:cs="仿宋_GB2312"/>
          <w:sz w:val="16"/>
          <w:szCs w:val="16"/>
          <w:highlight w:val="none"/>
        </w:rPr>
        <w:t>注：1. B1、B2及C1、C2、C3采用算数平均法测算多种物料、多种装备、多种产品、多种污染物的指标平均值</w:t>
      </w:r>
    </w:p>
    <w:p>
      <w:pPr>
        <w:numPr>
          <w:numId w:val="0"/>
        </w:numPr>
        <w:snapToGrid w:val="0"/>
        <w:ind w:firstLine="0" w:firstLineChars="0"/>
        <w:rPr>
          <w:rFonts w:hint="eastAsia" w:ascii="仿宋_GB2312" w:hAnsi="仿宋_GB2312" w:eastAsia="仿宋_GB2312" w:cs="仿宋_GB2312"/>
          <w:sz w:val="16"/>
          <w:szCs w:val="16"/>
          <w:highlight w:val="none"/>
        </w:rPr>
      </w:pPr>
      <w:r>
        <w:rPr>
          <w:rFonts w:hint="default" w:ascii="仿宋_GB2312" w:hAnsi="仿宋_GB2312" w:eastAsia="仿宋_GB2312" w:cs="仿宋_GB2312"/>
          <w:sz w:val="16"/>
          <w:szCs w:val="16"/>
          <w:highlight w:val="none"/>
        </w:rPr>
        <w:t xml:space="preserve">      2.</w:t>
      </w:r>
      <w:r>
        <w:rPr>
          <w:rFonts w:hint="eastAsia" w:ascii="仿宋_GB2312" w:hAnsi="仿宋_GB2312" w:eastAsia="仿宋_GB2312" w:cs="仿宋_GB2312"/>
          <w:sz w:val="16"/>
          <w:szCs w:val="16"/>
          <w:highlight w:val="none"/>
        </w:rPr>
        <w:t>基期值以2017年作为基准年测算，预期值根据项目实施期末测算；基期值和预期值测算方法应保持一致</w:t>
      </w:r>
    </w:p>
    <w:p>
      <w:pPr>
        <w:numPr>
          <w:numId w:val="0"/>
        </w:numPr>
        <w:snapToGrid w:val="0"/>
        <w:ind w:firstLine="0" w:firstLineChars="0"/>
        <w:rPr>
          <w:rFonts w:hint="eastAsia" w:ascii="仿宋_GB2312" w:hAnsi="仿宋_GB2312" w:eastAsia="仿宋_GB2312" w:cs="仿宋_GB2312"/>
          <w:sz w:val="16"/>
          <w:szCs w:val="16"/>
          <w:highlight w:val="none"/>
        </w:rPr>
      </w:pPr>
      <w:r>
        <w:rPr>
          <w:rFonts w:hint="default" w:ascii="仿宋_GB2312" w:hAnsi="仿宋_GB2312" w:eastAsia="仿宋_GB2312" w:cs="仿宋_GB2312"/>
          <w:sz w:val="16"/>
          <w:szCs w:val="16"/>
          <w:highlight w:val="none"/>
        </w:rPr>
        <w:t xml:space="preserve">      3.</w:t>
      </w:r>
      <w:r>
        <w:rPr>
          <w:rFonts w:hint="eastAsia" w:ascii="仿宋_GB2312" w:hAnsi="仿宋_GB2312" w:eastAsia="仿宋_GB2312" w:cs="仿宋_GB2312"/>
          <w:sz w:val="16"/>
          <w:szCs w:val="16"/>
          <w:highlight w:val="none"/>
        </w:rPr>
        <w:t>详细列明测算过程，提供相关证明材料（要求见上表“参考依据”等，可只提供首页和相关页）；测算过程、各相关要素来源计算及对应的参考依据、相关证明材料等作为随附材料提供</w:t>
      </w:r>
    </w:p>
    <w:p>
      <w:pPr>
        <w:snapToGrid w:val="0"/>
        <w:rPr>
          <w:sz w:val="16"/>
          <w:szCs w:val="16"/>
          <w:highlight w:val="none"/>
        </w:rPr>
        <w:sectPr>
          <w:pgSz w:w="16838" w:h="11906" w:orient="landscape"/>
          <w:pgMar w:top="1757" w:right="1134" w:bottom="1757" w:left="1134" w:header="851" w:footer="992" w:gutter="0"/>
          <w:pgNumType w:fmt="decimal"/>
          <w:cols w:space="720" w:num="1"/>
          <w:rtlGutter w:val="0"/>
          <w:docGrid w:type="lines" w:linePitch="322" w:charSpace="0"/>
        </w:sectPr>
      </w:pPr>
    </w:p>
    <w:p>
      <w:pPr>
        <w:ind w:firstLine="0" w:firstLineChars="0"/>
        <w:jc w:val="left"/>
        <w:rPr>
          <w:rFonts w:eastAsia="黑体"/>
          <w:bCs/>
          <w:sz w:val="32"/>
          <w:szCs w:val="32"/>
          <w:highlight w:val="none"/>
        </w:rPr>
      </w:pPr>
      <w:r>
        <w:rPr>
          <w:rFonts w:eastAsia="黑体"/>
          <w:bCs/>
          <w:sz w:val="32"/>
          <w:szCs w:val="32"/>
          <w:highlight w:val="none"/>
        </w:rPr>
        <w:t xml:space="preserve"> 三、实施任务及主要建设内容</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（一）总体任务</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 构建绿色设计/绿色供应链信息数据库和平台；</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实施关键工艺技术的创新和绿色化改造；</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 推进绿色装备和材料的创新和集成应用；</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 制定绿色设计/绿色关键技术/绿色供应链标准；</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 生产绿色产品/创建绿色工厂/构建绿色供应链。</w:t>
            </w:r>
          </w:p>
          <w:p>
            <w:pPr>
              <w:jc w:val="left"/>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（以上内容</w:t>
            </w:r>
            <w:r>
              <w:rPr>
                <w:rFonts w:hint="eastAsia" w:ascii="仿宋_GB2312" w:hAnsi="仿宋_GB2312" w:eastAsia="仿宋_GB2312" w:cs="仿宋_GB2312"/>
                <w:sz w:val="24"/>
                <w:szCs w:val="24"/>
                <w:highlight w:val="none"/>
              </w:rPr>
              <w:t>请</w:t>
            </w:r>
            <w:r>
              <w:rPr>
                <w:rFonts w:ascii="仿宋_GB2312" w:hAnsi="仿宋_GB2312" w:eastAsia="仿宋_GB2312" w:cs="仿宋_GB2312"/>
                <w:sz w:val="24"/>
                <w:szCs w:val="24"/>
                <w:highlight w:val="none"/>
              </w:rPr>
              <w:t>结合申报方向及项目实际填报</w:t>
            </w:r>
            <w:r>
              <w:rPr>
                <w:rFonts w:hint="eastAsia" w:ascii="仿宋_GB2312" w:hAnsi="仿宋_GB2312" w:eastAsia="仿宋_GB2312" w:cs="仿宋_GB2312"/>
                <w:sz w:val="24"/>
                <w:szCs w:val="24"/>
                <w:highlight w:val="none"/>
              </w:rPr>
              <w:t>）</w:t>
            </w: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p>
            <w:pPr>
              <w:snapToGrid w:val="0"/>
              <w:jc w:val="left"/>
              <w:rPr>
                <w:rFonts w:eastAsia="楷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（二）年度任务分解</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（明确项目的实施期限及年度任务分解）</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8" w:hRule="atLeast"/>
          <w:jc w:val="center"/>
        </w:trPr>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（三）主要建设内容</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为实现绿色制造系统集成总体目标和任务，所实施的重点支撑项目</w:t>
            </w:r>
            <w:r>
              <w:rPr>
                <w:rFonts w:ascii="仿宋_GB2312" w:hAnsi="仿宋_GB2312" w:eastAsia="仿宋_GB2312" w:cs="仿宋_GB2312"/>
                <w:sz w:val="24"/>
                <w:szCs w:val="24"/>
                <w:highlight w:val="none"/>
              </w:rPr>
              <w:t>）</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tc>
      </w:tr>
    </w:tbl>
    <w:p>
      <w:pPr>
        <w:ind w:firstLine="0" w:firstLineChars="0"/>
        <w:jc w:val="left"/>
        <w:rPr>
          <w:rFonts w:eastAsia="黑体"/>
          <w:bCs/>
          <w:sz w:val="32"/>
          <w:szCs w:val="32"/>
          <w:highlight w:val="none"/>
        </w:rPr>
      </w:pPr>
      <w:r>
        <w:rPr>
          <w:rFonts w:eastAsia="黑体"/>
          <w:bCs/>
          <w:sz w:val="32"/>
          <w:szCs w:val="32"/>
          <w:highlight w:val="none"/>
        </w:rPr>
        <w:br w:type="page"/>
      </w:r>
      <w:r>
        <w:rPr>
          <w:rFonts w:eastAsia="黑体"/>
          <w:bCs/>
          <w:sz w:val="32"/>
          <w:szCs w:val="32"/>
          <w:highlight w:val="none"/>
        </w:rPr>
        <w:t xml:space="preserve"> 四、项目技术方案</w:t>
      </w:r>
    </w:p>
    <w:tbl>
      <w:tblPr>
        <w:tblStyle w:val="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（一）项目技术路线</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（说明项目具体的技术路线介绍，重点说明技术路线的主要特点及可行性）</w:t>
            </w:r>
          </w:p>
          <w:p>
            <w:pPr>
              <w:jc w:val="center"/>
              <w:rPr>
                <w:sz w:val="24"/>
                <w:szCs w:val="24"/>
                <w:highlight w:val="none"/>
              </w:rPr>
            </w:pPr>
          </w:p>
          <w:p>
            <w:pPr>
              <w:jc w:val="center"/>
              <w:rPr>
                <w:sz w:val="24"/>
                <w:szCs w:val="24"/>
                <w:highlight w:val="none"/>
              </w:rPr>
            </w:pPr>
          </w:p>
          <w:p>
            <w:pPr>
              <w:jc w:val="center"/>
              <w:rPr>
                <w:sz w:val="24"/>
                <w:szCs w:val="24"/>
                <w:highlight w:val="none"/>
              </w:rPr>
            </w:pPr>
          </w:p>
          <w:p>
            <w:pPr>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（二）项目的技术难点和主要创新点</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（主要技术指标、与国内外先进水平的比较，体现技术的先进性）</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（三）项目的市场分析和技术成果应用分析</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（推广应用的经济、社会效益分析）</w:t>
            </w: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p>
            <w:pPr>
              <w:rPr>
                <w:sz w:val="24"/>
                <w:szCs w:val="24"/>
                <w:highlight w:val="none"/>
              </w:rPr>
            </w:pPr>
          </w:p>
        </w:tc>
      </w:tr>
    </w:tbl>
    <w:p>
      <w:pPr>
        <w:ind w:firstLine="0" w:firstLineChars="0"/>
        <w:jc w:val="left"/>
        <w:rPr>
          <w:rFonts w:eastAsia="黑体"/>
          <w:bCs/>
          <w:sz w:val="32"/>
          <w:szCs w:val="32"/>
          <w:highlight w:val="none"/>
        </w:rPr>
      </w:pPr>
      <w:r>
        <w:rPr>
          <w:rFonts w:eastAsia="黑体"/>
          <w:bCs/>
          <w:sz w:val="32"/>
          <w:szCs w:val="32"/>
          <w:highlight w:val="none"/>
        </w:rPr>
        <w:t>五、项目投资概算</w:t>
      </w:r>
    </w:p>
    <w:tbl>
      <w:tblPr>
        <w:tblStyle w:val="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67" w:type="dxa"/>
            <w:vAlign w:val="center"/>
          </w:tcPr>
          <w:p>
            <w:pPr>
              <w:rPr>
                <w:sz w:val="24"/>
                <w:szCs w:val="24"/>
                <w:highlight w:val="none"/>
              </w:rPr>
            </w:pPr>
            <w:r>
              <w:rPr>
                <w:rFonts w:ascii="仿宋_GB2312" w:hAnsi="仿宋_GB2312" w:eastAsia="仿宋_GB2312" w:cs="仿宋_GB2312"/>
                <w:sz w:val="24"/>
                <w:szCs w:val="24"/>
                <w:highlight w:val="none"/>
              </w:rPr>
              <w:t>项目总投资（万元）</w:t>
            </w:r>
          </w:p>
        </w:tc>
        <w:tc>
          <w:tcPr>
            <w:tcW w:w="5355" w:type="dxa"/>
            <w:vAlign w:val="center"/>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vAlign w:val="top"/>
          </w:tcPr>
          <w:p>
            <w:pPr>
              <w:snapToGrid w:val="0"/>
              <w:jc w:val="left"/>
              <w:rPr>
                <w:rFonts w:hint="eastAsia" w:ascii="楷体_GB2312" w:hAnsi="楷体_GB2312" w:eastAsia="楷体_GB2312" w:cs="楷体_GB2312"/>
                <w:b/>
                <w:sz w:val="28"/>
                <w:szCs w:val="28"/>
                <w:highlight w:val="none"/>
              </w:rPr>
            </w:pPr>
            <w:r>
              <w:rPr>
                <w:rFonts w:hint="eastAsia" w:ascii="楷体_GB2312" w:hAnsi="楷体_GB2312" w:eastAsia="楷体_GB2312" w:cs="楷体_GB2312"/>
                <w:b/>
                <w:sz w:val="28"/>
                <w:szCs w:val="28"/>
                <w:highlight w:val="none"/>
              </w:rPr>
              <w:t>（一）项目投资构成</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（给出投资概算说明，列出投资概算表；项目投资应与绿色制造核心内容密切相关）</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（二）项目筹资方案</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（项目资金来源及可靠性分析；所列项目整体（含子项）未得到中央财政资金支持，已申报其他渠道中央财政资金支持的项目不得重复申报）</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bl>
    <w:p>
      <w:pPr>
        <w:ind w:firstLine="0" w:firstLineChars="0"/>
        <w:jc w:val="left"/>
        <w:rPr>
          <w:rFonts w:eastAsia="黑体"/>
          <w:bCs/>
          <w:sz w:val="32"/>
          <w:szCs w:val="32"/>
          <w:highlight w:val="none"/>
        </w:rPr>
      </w:pPr>
      <w:r>
        <w:rPr>
          <w:rFonts w:eastAsia="黑体"/>
          <w:bCs/>
          <w:sz w:val="32"/>
          <w:szCs w:val="32"/>
          <w:highlight w:val="none"/>
        </w:rPr>
        <w:br w:type="page"/>
      </w:r>
      <w:r>
        <w:rPr>
          <w:rFonts w:eastAsia="黑体"/>
          <w:bCs/>
          <w:sz w:val="32"/>
          <w:szCs w:val="32"/>
          <w:highlight w:val="none"/>
        </w:rPr>
        <w:t>六、绿色制造系统集成模式总结</w:t>
      </w:r>
    </w:p>
    <w:tbl>
      <w:tblPr>
        <w:tblStyle w:val="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（形成绿色制造系统集成模式及实施路径等，重点描述企业通过实施绿色制造项目所建立的新模式、新机制）</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bl>
    <w:p>
      <w:pPr>
        <w:spacing w:before="156" w:beforeLines="50"/>
        <w:ind w:firstLine="0" w:firstLineChars="0"/>
        <w:jc w:val="left"/>
        <w:rPr>
          <w:rFonts w:eastAsia="黑体"/>
          <w:bCs/>
          <w:sz w:val="32"/>
          <w:szCs w:val="32"/>
          <w:highlight w:val="none"/>
        </w:rPr>
      </w:pPr>
      <w:r>
        <w:rPr>
          <w:rFonts w:eastAsia="黑体"/>
          <w:bCs/>
          <w:sz w:val="32"/>
          <w:szCs w:val="32"/>
          <w:highlight w:val="none"/>
        </w:rPr>
        <w:t>七、风险分析及对策</w:t>
      </w:r>
    </w:p>
    <w:tbl>
      <w:tblPr>
        <w:tblStyle w:val="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（市场、技术、投融资、政策等方面的风险分析及其对策）</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rFonts w:eastAsia="仿宋_GB2312"/>
                <w:sz w:val="32"/>
                <w:szCs w:val="32"/>
                <w:highlight w:val="none"/>
              </w:rPr>
            </w:pPr>
          </w:p>
        </w:tc>
      </w:tr>
    </w:tbl>
    <w:p>
      <w:pPr>
        <w:ind w:firstLine="0" w:firstLineChars="0"/>
        <w:rPr>
          <w:rFonts w:eastAsia="黑体"/>
          <w:bCs/>
          <w:sz w:val="32"/>
          <w:szCs w:val="32"/>
          <w:highlight w:val="none"/>
        </w:rPr>
      </w:pPr>
      <w:r>
        <w:rPr>
          <w:rFonts w:eastAsia="仿宋_GB2312"/>
          <w:sz w:val="32"/>
          <w:szCs w:val="32"/>
          <w:highlight w:val="none"/>
        </w:rPr>
        <w:br w:type="page"/>
      </w:r>
      <w:r>
        <w:rPr>
          <w:rFonts w:eastAsia="黑体"/>
          <w:bCs/>
          <w:sz w:val="32"/>
          <w:szCs w:val="32"/>
          <w:highlight w:val="none"/>
        </w:rPr>
        <w:t>八、随附材料</w:t>
      </w:r>
    </w:p>
    <w:tbl>
      <w:tblPr>
        <w:tblStyle w:val="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3" w:hRule="atLeast"/>
        </w:trPr>
        <w:tc>
          <w:tcPr>
            <w:tcW w:w="8522" w:type="dxa"/>
            <w:vAlign w:val="top"/>
          </w:tcPr>
          <w:p>
            <w:pPr>
              <w:snapToGrid w:val="0"/>
              <w:jc w:val="left"/>
              <w:rPr>
                <w:rFonts w:hint="eastAsia" w:ascii="楷体_GB2312" w:hAnsi="楷体_GB2312" w:eastAsia="楷体_GB2312" w:cs="楷体_GB2312"/>
                <w:b/>
                <w:sz w:val="28"/>
                <w:szCs w:val="28"/>
                <w:highlight w:val="none"/>
              </w:rPr>
            </w:pPr>
            <w:r>
              <w:rPr>
                <w:rFonts w:hint="eastAsia" w:ascii="楷体_GB2312" w:hAnsi="楷体_GB2312" w:eastAsia="楷体_GB2312" w:cs="楷体_GB2312"/>
                <w:b/>
                <w:sz w:val="28"/>
                <w:szCs w:val="28"/>
                <w:highlight w:val="none"/>
              </w:rPr>
              <w:t>（一）项目牵头单位和联合体成员单位之间的联合体协议（原件，加盖所有成员单位公章）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（协议须由联合体</w:t>
            </w:r>
            <w:r>
              <w:rPr>
                <w:rFonts w:hint="eastAsia" w:ascii="仿宋_GB2312" w:hAnsi="仿宋_GB2312" w:eastAsia="仿宋_GB2312" w:cs="仿宋_GB2312"/>
                <w:sz w:val="24"/>
                <w:szCs w:val="24"/>
                <w:highlight w:val="none"/>
              </w:rPr>
              <w:t>牵头及</w:t>
            </w:r>
            <w:r>
              <w:rPr>
                <w:rFonts w:ascii="仿宋_GB2312" w:hAnsi="仿宋_GB2312" w:eastAsia="仿宋_GB2312" w:cs="仿宋_GB2312"/>
                <w:sz w:val="24"/>
                <w:szCs w:val="24"/>
                <w:highlight w:val="none"/>
              </w:rPr>
              <w:t>成员单位共同签署，明确</w:t>
            </w:r>
            <w:r>
              <w:rPr>
                <w:rFonts w:hint="eastAsia" w:ascii="仿宋_GB2312" w:hAnsi="仿宋_GB2312" w:eastAsia="仿宋_GB2312" w:cs="仿宋_GB2312"/>
                <w:sz w:val="24"/>
                <w:szCs w:val="24"/>
                <w:highlight w:val="none"/>
              </w:rPr>
              <w:t>联合体</w:t>
            </w:r>
            <w:r>
              <w:rPr>
                <w:rFonts w:ascii="仿宋_GB2312" w:hAnsi="仿宋_GB2312" w:eastAsia="仿宋_GB2312" w:cs="仿宋_GB2312"/>
                <w:sz w:val="24"/>
                <w:szCs w:val="24"/>
                <w:highlight w:val="none"/>
              </w:rPr>
              <w:t>的组织方式或经营机制、权利责任、任务分工、资金分配、联合体长期发展计划等，</w:t>
            </w:r>
            <w:r>
              <w:rPr>
                <w:rFonts w:hint="eastAsia" w:ascii="仿宋_GB2312" w:hAnsi="仿宋_GB2312" w:eastAsia="仿宋_GB2312" w:cs="仿宋_GB2312"/>
                <w:sz w:val="24"/>
                <w:szCs w:val="24"/>
                <w:highlight w:val="none"/>
              </w:rPr>
              <w:t>补助</w:t>
            </w:r>
            <w:r>
              <w:rPr>
                <w:rFonts w:ascii="仿宋_GB2312" w:hAnsi="仿宋_GB2312" w:eastAsia="仿宋_GB2312" w:cs="仿宋_GB2312"/>
                <w:sz w:val="24"/>
                <w:szCs w:val="24"/>
                <w:highlight w:val="none"/>
              </w:rPr>
              <w:t>资金</w:t>
            </w:r>
            <w:r>
              <w:rPr>
                <w:rFonts w:hint="eastAsia" w:ascii="仿宋_GB2312" w:hAnsi="仿宋_GB2312" w:eastAsia="仿宋_GB2312" w:cs="仿宋_GB2312"/>
                <w:sz w:val="24"/>
                <w:szCs w:val="24"/>
                <w:highlight w:val="none"/>
              </w:rPr>
              <w:t>分配</w:t>
            </w:r>
            <w:r>
              <w:rPr>
                <w:rFonts w:ascii="仿宋_GB2312" w:hAnsi="仿宋_GB2312" w:eastAsia="仿宋_GB2312" w:cs="仿宋_GB2312"/>
                <w:sz w:val="24"/>
                <w:szCs w:val="24"/>
                <w:highlight w:val="none"/>
              </w:rPr>
              <w:t>比例</w:t>
            </w:r>
            <w:r>
              <w:rPr>
                <w:rFonts w:hint="eastAsia" w:ascii="仿宋_GB2312" w:hAnsi="仿宋_GB2312" w:eastAsia="仿宋_GB2312" w:cs="仿宋_GB2312"/>
                <w:sz w:val="24"/>
                <w:szCs w:val="24"/>
                <w:highlight w:val="none"/>
              </w:rPr>
              <w:t>应明确量化，并与各单位所承担的任务量、工程量及标准等产出相匹配，不得纳入与达成联合体实施目标无直接关系或关联度不高的成员单位</w:t>
            </w:r>
            <w:r>
              <w:rPr>
                <w:rFonts w:ascii="仿宋_GB2312" w:hAnsi="仿宋_GB2312" w:eastAsia="仿宋_GB2312" w:cs="仿宋_GB2312"/>
                <w:sz w:val="24"/>
                <w:szCs w:val="24"/>
                <w:highlight w:val="none"/>
              </w:rPr>
              <w:t>）</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（二）项目联合体全体成员单位有关证明文件（复印件，加盖公章）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 联合体</w:t>
            </w:r>
            <w:r>
              <w:rPr>
                <w:rFonts w:hint="eastAsia" w:ascii="仿宋_GB2312" w:hAnsi="仿宋_GB2312" w:eastAsia="仿宋_GB2312" w:cs="仿宋_GB2312"/>
                <w:sz w:val="24"/>
                <w:szCs w:val="24"/>
                <w:highlight w:val="none"/>
              </w:rPr>
              <w:t>牵头及</w:t>
            </w:r>
            <w:r>
              <w:rPr>
                <w:rFonts w:ascii="仿宋_GB2312" w:hAnsi="仿宋_GB2312" w:eastAsia="仿宋_GB2312" w:cs="仿宋_GB2312"/>
                <w:sz w:val="24"/>
                <w:szCs w:val="24"/>
                <w:highlight w:val="none"/>
              </w:rPr>
              <w:t>成员单位的营业执照；</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 联合体牵头单位近三年经审计的财务报告；</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3. 联合体牵头单位现有知识产权清单和标准清单；</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 联合体</w:t>
            </w:r>
            <w:r>
              <w:rPr>
                <w:rFonts w:hint="eastAsia" w:ascii="仿宋_GB2312" w:hAnsi="仿宋_GB2312" w:eastAsia="仿宋_GB2312" w:cs="仿宋_GB2312"/>
                <w:sz w:val="24"/>
                <w:szCs w:val="24"/>
                <w:highlight w:val="none"/>
              </w:rPr>
              <w:t>牵头及</w:t>
            </w:r>
            <w:r>
              <w:rPr>
                <w:rFonts w:ascii="仿宋_GB2312" w:hAnsi="仿宋_GB2312" w:eastAsia="仿宋_GB2312" w:cs="仿宋_GB2312"/>
                <w:sz w:val="24"/>
                <w:szCs w:val="24"/>
                <w:highlight w:val="none"/>
              </w:rPr>
              <w:t>成员单位具有的与绿色制造相关的其他基础条件证明材料。</w:t>
            </w:r>
          </w:p>
          <w:p>
            <w:pPr>
              <w:jc w:val="left"/>
              <w:rPr>
                <w:sz w:val="24"/>
                <w:szCs w:val="24"/>
                <w:highlight w:val="none"/>
              </w:rPr>
            </w:pPr>
          </w:p>
          <w:p>
            <w:pPr>
              <w:jc w:val="left"/>
              <w:rPr>
                <w:sz w:val="24"/>
                <w:szCs w:val="24"/>
                <w:highlight w:val="none"/>
              </w:rPr>
            </w:pPr>
          </w:p>
          <w:p>
            <w:pPr>
              <w:jc w:val="left"/>
              <w:rPr>
                <w:sz w:val="24"/>
                <w:szCs w:val="24"/>
                <w:highlight w:val="none"/>
              </w:rPr>
            </w:pPr>
          </w:p>
          <w:p>
            <w:pPr>
              <w:jc w:val="left"/>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（三）项目有关证明文件（复印件，加盖公章）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 项目立项备案相关文件，明确项目前期工作</w:t>
            </w:r>
            <w:r>
              <w:rPr>
                <w:rFonts w:hint="eastAsia" w:ascii="仿宋_GB2312" w:hAnsi="仿宋_GB2312" w:eastAsia="仿宋_GB2312" w:cs="仿宋_GB2312"/>
                <w:sz w:val="24"/>
                <w:szCs w:val="24"/>
                <w:highlight w:val="none"/>
              </w:rPr>
              <w:t>情况</w:t>
            </w:r>
            <w:r>
              <w:rPr>
                <w:rFonts w:ascii="仿宋_GB2312" w:hAnsi="仿宋_GB2312" w:eastAsia="仿宋_GB2312" w:cs="仿宋_GB2312"/>
                <w:sz w:val="24"/>
                <w:szCs w:val="24"/>
                <w:highlight w:val="none"/>
              </w:rPr>
              <w:t>，项目立项备案文件应涵盖申报项目建设内容；</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 提供的项目可行性研究报告应与申报项目密切相关。</w:t>
            </w: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snapToGrid w:val="0"/>
              <w:jc w:val="left"/>
              <w:rPr>
                <w:rFonts w:hint="eastAsia" w:ascii="方正楷体_GBK" w:hAnsi="方正楷体_GBK" w:eastAsia="方正楷体_GBK" w:cs="方正楷体_GBK"/>
                <w:b/>
                <w:sz w:val="28"/>
                <w:szCs w:val="28"/>
                <w:highlight w:val="none"/>
              </w:rPr>
            </w:pPr>
            <w:r>
              <w:rPr>
                <w:rFonts w:hint="eastAsia" w:ascii="方正楷体_GBK" w:hAnsi="方正楷体_GBK" w:eastAsia="方正楷体_GBK" w:cs="方正楷体_GBK"/>
                <w:b/>
                <w:sz w:val="28"/>
                <w:szCs w:val="28"/>
                <w:highlight w:val="none"/>
              </w:rPr>
              <w:t>（四）绩效考核指标测算过程、相关要素值来源计算、测算依据相关证明材料（复印件，加盖公章）</w:t>
            </w:r>
          </w:p>
          <w:p>
            <w:pPr>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 xml:space="preserve">1. </w:t>
            </w:r>
            <w:r>
              <w:rPr>
                <w:rFonts w:hint="eastAsia" w:ascii="仿宋_GB2312" w:hAnsi="仿宋_GB2312" w:eastAsia="仿宋_GB2312" w:cs="仿宋_GB2312"/>
                <w:sz w:val="24"/>
                <w:szCs w:val="24"/>
                <w:highlight w:val="none"/>
              </w:rPr>
              <w:t>3项绩效考核指标须提供详细的测算过程</w:t>
            </w:r>
            <w:r>
              <w:rPr>
                <w:rFonts w:ascii="仿宋_GB2312" w:hAnsi="仿宋_GB2312" w:eastAsia="仿宋_GB2312" w:cs="仿宋_GB2312"/>
                <w:sz w:val="24"/>
                <w:szCs w:val="24"/>
                <w:highlight w:val="none"/>
              </w:rPr>
              <w:t>；</w:t>
            </w:r>
          </w:p>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 基期值、预期值各相关要素来源计算及对应的参考依据、相关证明材料</w:t>
            </w:r>
            <w:r>
              <w:rPr>
                <w:rFonts w:ascii="仿宋_GB2312" w:hAnsi="仿宋_GB2312" w:eastAsia="仿宋_GB2312" w:cs="仿宋_GB2312"/>
                <w:sz w:val="24"/>
                <w:szCs w:val="24"/>
                <w:highlight w:val="none"/>
              </w:rPr>
              <w:t>；</w:t>
            </w:r>
          </w:p>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测算依据有标准参照的，须附相关标准及测算依据，没有标准参照的，须提供自身参照依据，并给出相关采用说明</w:t>
            </w:r>
            <w:r>
              <w:rPr>
                <w:rFonts w:ascii="仿宋_GB2312" w:hAnsi="仿宋_GB2312" w:eastAsia="仿宋_GB2312" w:cs="仿宋_GB2312"/>
                <w:sz w:val="24"/>
                <w:szCs w:val="24"/>
                <w:highlight w:val="none"/>
              </w:rPr>
              <w:t>；</w:t>
            </w:r>
          </w:p>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ascii="仿宋_GB2312" w:hAnsi="仿宋_GB2312" w:eastAsia="仿宋_GB2312" w:cs="仿宋_GB2312"/>
                <w:sz w:val="24"/>
                <w:szCs w:val="24"/>
                <w:highlight w:val="none"/>
              </w:rPr>
              <w:t>. 相关证明材料的完整性、客观性，将作为绩效</w:t>
            </w:r>
            <w:r>
              <w:rPr>
                <w:rFonts w:hint="eastAsia" w:ascii="仿宋_GB2312" w:hAnsi="仿宋_GB2312" w:eastAsia="仿宋_GB2312" w:cs="仿宋_GB2312"/>
                <w:sz w:val="24"/>
                <w:szCs w:val="24"/>
                <w:highlight w:val="none"/>
              </w:rPr>
              <w:t>考核</w:t>
            </w:r>
            <w:r>
              <w:rPr>
                <w:rFonts w:ascii="仿宋_GB2312" w:hAnsi="仿宋_GB2312" w:eastAsia="仿宋_GB2312" w:cs="仿宋_GB2312"/>
                <w:sz w:val="24"/>
                <w:szCs w:val="24"/>
                <w:highlight w:val="none"/>
              </w:rPr>
              <w:t>指标可靠性评价的重要依据。</w:t>
            </w: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p>
            <w:pPr>
              <w:jc w:val="left"/>
              <w:rPr>
                <w:b/>
                <w:sz w:val="24"/>
                <w:szCs w:val="24"/>
                <w:highlight w:val="none"/>
              </w:rPr>
            </w:pPr>
          </w:p>
        </w:tc>
      </w:tr>
    </w:tbl>
    <w:p>
      <w:pPr>
        <w:ind w:firstLine="566" w:firstLineChars="177"/>
        <w:rPr>
          <w:rFonts w:eastAsia="黑体"/>
          <w:bCs/>
          <w:sz w:val="32"/>
          <w:szCs w:val="32"/>
          <w:highlight w:val="none"/>
        </w:rPr>
      </w:pPr>
      <w:r>
        <w:rPr>
          <w:rFonts w:eastAsia="仿宋_GB2312"/>
          <w:sz w:val="32"/>
          <w:szCs w:val="32"/>
          <w:highlight w:val="none"/>
        </w:rPr>
        <w:br w:type="page"/>
      </w:r>
      <w:r>
        <w:rPr>
          <w:rFonts w:eastAsia="黑体"/>
          <w:bCs/>
          <w:sz w:val="32"/>
          <w:szCs w:val="32"/>
          <w:highlight w:val="none"/>
        </w:rPr>
        <w:t>九、声明</w:t>
      </w:r>
    </w:p>
    <w:p>
      <w:pPr>
        <w:ind w:firstLine="605" w:firstLineChars="189"/>
        <w:rPr>
          <w:rFonts w:eastAsia="黑体"/>
          <w:bCs/>
          <w:sz w:val="32"/>
          <w:szCs w:val="32"/>
          <w:highlight w:val="none"/>
        </w:rPr>
      </w:pPr>
    </w:p>
    <w:p>
      <w:pPr>
        <w:ind w:firstLine="605" w:firstLineChars="189"/>
        <w:rPr>
          <w:rFonts w:eastAsia="黑体"/>
          <w:bCs/>
          <w:sz w:val="32"/>
          <w:szCs w:val="32"/>
          <w:highlight w:val="none"/>
        </w:rPr>
      </w:pPr>
      <w:r>
        <w:rPr>
          <w:rFonts w:eastAsia="黑体"/>
          <w:bCs/>
          <w:sz w:val="32"/>
          <w:szCs w:val="32"/>
          <w:highlight w:val="none"/>
        </w:rPr>
        <w:t>本项目总负责人、技术负责人和责任单位承诺：项目申报书所有信息真实准确，所有承诺诚信可靠。项目整体（含子项）未得到中央财政资金支持。</w:t>
      </w:r>
      <w:r>
        <w:rPr>
          <w:rFonts w:hint="eastAsia" w:eastAsia="黑体"/>
          <w:bCs/>
          <w:sz w:val="32"/>
          <w:szCs w:val="32"/>
          <w:highlight w:val="none"/>
        </w:rPr>
        <w:t>项目牵头单位仅申报1个绿色制造系统集成</w:t>
      </w:r>
      <w:r>
        <w:rPr>
          <w:rFonts w:eastAsia="黑体"/>
          <w:bCs/>
          <w:sz w:val="32"/>
          <w:szCs w:val="32"/>
          <w:highlight w:val="none"/>
        </w:rPr>
        <w:t>项目，近三年内</w:t>
      </w:r>
      <w:r>
        <w:rPr>
          <w:rFonts w:hint="eastAsia" w:eastAsia="黑体"/>
          <w:bCs/>
          <w:sz w:val="32"/>
          <w:szCs w:val="32"/>
          <w:highlight w:val="none"/>
        </w:rPr>
        <w:t>并未获得过工业转型升级资金支持。</w:t>
      </w:r>
      <w:r>
        <w:rPr>
          <w:rFonts w:hint="default" w:eastAsia="黑体"/>
          <w:bCs/>
          <w:sz w:val="32"/>
          <w:szCs w:val="32"/>
          <w:highlight w:val="none"/>
        </w:rPr>
        <w:t>联合体全体成员单位符合申报要求。</w:t>
      </w:r>
      <w:r>
        <w:rPr>
          <w:rFonts w:eastAsia="黑体"/>
          <w:bCs/>
          <w:sz w:val="32"/>
          <w:szCs w:val="32"/>
          <w:highlight w:val="none"/>
        </w:rPr>
        <w:t>如有失实，愿意承担相关责任。</w:t>
      </w:r>
    </w:p>
    <w:p>
      <w:pPr>
        <w:ind w:firstLine="605" w:firstLineChars="189"/>
        <w:rPr>
          <w:rFonts w:eastAsia="黑体"/>
          <w:bCs/>
          <w:sz w:val="32"/>
          <w:szCs w:val="32"/>
          <w:highlight w:val="none"/>
        </w:rPr>
      </w:pPr>
    </w:p>
    <w:p>
      <w:pPr>
        <w:ind w:firstLine="605" w:firstLineChars="189"/>
        <w:rPr>
          <w:rFonts w:eastAsia="黑体"/>
          <w:bCs/>
          <w:sz w:val="32"/>
          <w:szCs w:val="32"/>
          <w:highlight w:val="none"/>
        </w:rPr>
      </w:pPr>
    </w:p>
    <w:p>
      <w:pPr>
        <w:ind w:firstLine="605" w:firstLineChars="189"/>
        <w:rPr>
          <w:rFonts w:eastAsia="黑体"/>
          <w:bCs/>
          <w:sz w:val="32"/>
          <w:szCs w:val="32"/>
          <w:highlight w:val="none"/>
        </w:rPr>
      </w:pPr>
    </w:p>
    <w:p>
      <w:pPr>
        <w:ind w:firstLine="605" w:firstLineChars="189"/>
        <w:rPr>
          <w:rFonts w:eastAsia="黑体"/>
          <w:bCs/>
          <w:sz w:val="32"/>
          <w:szCs w:val="32"/>
          <w:highlight w:val="none"/>
        </w:rPr>
      </w:pPr>
    </w:p>
    <w:p>
      <w:pPr>
        <w:wordWrap w:val="0"/>
        <w:ind w:firstLine="605" w:firstLineChars="189"/>
        <w:jc w:val="right"/>
        <w:rPr>
          <w:rFonts w:eastAsia="仿宋_GB2312"/>
          <w:bCs/>
          <w:sz w:val="32"/>
          <w:szCs w:val="32"/>
          <w:highlight w:val="none"/>
        </w:rPr>
      </w:pPr>
      <w:r>
        <w:rPr>
          <w:rFonts w:eastAsia="仿宋_GB2312"/>
          <w:bCs/>
          <w:sz w:val="32"/>
          <w:szCs w:val="32"/>
          <w:highlight w:val="none"/>
        </w:rPr>
        <w:t xml:space="preserve">项目总负责人签字：                </w:t>
      </w:r>
    </w:p>
    <w:p>
      <w:pPr>
        <w:ind w:firstLine="605" w:firstLineChars="189"/>
        <w:jc w:val="right"/>
        <w:rPr>
          <w:rFonts w:eastAsia="仿宋_GB2312"/>
          <w:bCs/>
          <w:sz w:val="32"/>
          <w:szCs w:val="32"/>
          <w:highlight w:val="none"/>
        </w:rPr>
      </w:pPr>
    </w:p>
    <w:p>
      <w:pPr>
        <w:wordWrap w:val="0"/>
        <w:ind w:firstLine="605" w:firstLineChars="189"/>
        <w:jc w:val="right"/>
        <w:rPr>
          <w:rFonts w:eastAsia="仿宋_GB2312"/>
          <w:bCs/>
          <w:sz w:val="32"/>
          <w:szCs w:val="32"/>
          <w:highlight w:val="none"/>
        </w:rPr>
      </w:pPr>
      <w:r>
        <w:rPr>
          <w:rFonts w:eastAsia="仿宋_GB2312"/>
          <w:bCs/>
          <w:sz w:val="32"/>
          <w:szCs w:val="32"/>
          <w:highlight w:val="none"/>
        </w:rPr>
        <w:t xml:space="preserve">项目技术负责人签字：              </w:t>
      </w:r>
    </w:p>
    <w:p>
      <w:pPr>
        <w:wordWrap w:val="0"/>
        <w:ind w:firstLine="605" w:firstLineChars="189"/>
        <w:jc w:val="right"/>
        <w:rPr>
          <w:rFonts w:eastAsia="仿宋_GB2312"/>
          <w:bCs/>
          <w:sz w:val="32"/>
          <w:szCs w:val="32"/>
          <w:highlight w:val="none"/>
        </w:rPr>
      </w:pPr>
    </w:p>
    <w:p>
      <w:pPr>
        <w:wordWrap w:val="0"/>
        <w:ind w:firstLine="605" w:firstLineChars="189"/>
        <w:jc w:val="right"/>
        <w:rPr>
          <w:rFonts w:eastAsia="仿宋_GB2312"/>
          <w:bCs/>
          <w:sz w:val="32"/>
          <w:szCs w:val="32"/>
          <w:highlight w:val="none"/>
        </w:rPr>
      </w:pPr>
      <w:r>
        <w:rPr>
          <w:rFonts w:eastAsia="仿宋_GB2312"/>
          <w:bCs/>
          <w:sz w:val="32"/>
          <w:szCs w:val="32"/>
          <w:highlight w:val="none"/>
        </w:rPr>
        <w:t xml:space="preserve">（项目责任单位盖章）   </w:t>
      </w:r>
    </w:p>
    <w:p>
      <w:pPr>
        <w:wordWrap w:val="0"/>
        <w:ind w:firstLine="605" w:firstLineChars="189"/>
        <w:jc w:val="right"/>
        <w:rPr>
          <w:rFonts w:eastAsia="仿宋_GB2312"/>
          <w:bCs/>
          <w:sz w:val="32"/>
          <w:szCs w:val="32"/>
          <w:highlight w:val="none"/>
        </w:rPr>
      </w:pPr>
    </w:p>
    <w:p>
      <w:pPr>
        <w:wordWrap w:val="0"/>
        <w:ind w:firstLine="605" w:firstLineChars="189"/>
        <w:jc w:val="right"/>
        <w:rPr>
          <w:rFonts w:eastAsia="仿宋_GB2312"/>
          <w:bCs/>
          <w:sz w:val="32"/>
          <w:szCs w:val="32"/>
          <w:highlight w:val="none"/>
        </w:rPr>
      </w:pPr>
      <w:r>
        <w:rPr>
          <w:rFonts w:eastAsia="仿宋_GB2312"/>
          <w:bCs/>
          <w:sz w:val="32"/>
          <w:szCs w:val="32"/>
          <w:highlight w:val="none"/>
        </w:rPr>
        <w:t xml:space="preserve">年     月     日 </w:t>
      </w:r>
    </w:p>
    <w:p>
      <w:pPr>
        <w:ind w:firstLine="605" w:firstLineChars="189"/>
        <w:jc w:val="right"/>
        <w:rPr>
          <w:rFonts w:eastAsia="仿宋_GB2312"/>
          <w:bCs/>
          <w:sz w:val="32"/>
          <w:szCs w:val="32"/>
          <w:highlight w:val="none"/>
        </w:rPr>
      </w:pPr>
    </w:p>
    <w:p>
      <w:pPr>
        <w:ind w:firstLine="605" w:firstLineChars="189"/>
        <w:jc w:val="right"/>
        <w:rPr>
          <w:rFonts w:eastAsia="仿宋_GB2312"/>
          <w:bCs/>
          <w:sz w:val="32"/>
          <w:szCs w:val="32"/>
          <w:highlight w:val="none"/>
        </w:rPr>
      </w:pPr>
    </w:p>
    <w:p>
      <w:pPr>
        <w:ind w:firstLine="605" w:firstLineChars="189"/>
        <w:jc w:val="right"/>
        <w:rPr>
          <w:rFonts w:eastAsia="仿宋_GB2312"/>
          <w:bCs/>
          <w:sz w:val="32"/>
          <w:szCs w:val="32"/>
          <w:highlight w:val="none"/>
        </w:rPr>
      </w:pPr>
    </w:p>
    <w:p>
      <w:pPr>
        <w:widowControl/>
        <w:jc w:val="left"/>
        <w:rPr>
          <w:rFonts w:eastAsia="仿宋_GB2312"/>
          <w:sz w:val="32"/>
          <w:szCs w:val="32"/>
          <w:highlight w:val="none"/>
        </w:rPr>
      </w:pPr>
      <w:r>
        <w:rPr>
          <w:rFonts w:eastAsia="仿宋_GB2312"/>
          <w:bCs/>
          <w:sz w:val="32"/>
          <w:szCs w:val="32"/>
          <w:highlight w:val="none"/>
        </w:rPr>
        <w:br w:type="page"/>
      </w:r>
      <w:r>
        <w:rPr>
          <w:rFonts w:hint="eastAsia" w:ascii="仿宋_GB2312" w:hAnsi="仿宋_GB2312" w:eastAsia="仿宋_GB2312" w:cs="仿宋_GB2312"/>
          <w:sz w:val="32"/>
          <w:szCs w:val="32"/>
          <w:highlight w:val="none"/>
        </w:rPr>
        <w:t>附3</w:t>
      </w:r>
    </w:p>
    <w:p>
      <w:pPr>
        <w:pStyle w:val="3"/>
        <w:spacing w:before="156" w:after="156" w:line="240" w:lineRule="auto"/>
        <w:rPr>
          <w:rFonts w:eastAsia="黑体"/>
          <w:b w:val="0"/>
          <w:bCs w:val="0"/>
          <w:sz w:val="30"/>
          <w:szCs w:val="30"/>
          <w:highlight w:val="none"/>
        </w:rPr>
      </w:pPr>
      <w:r>
        <w:rPr>
          <w:rFonts w:eastAsia="黑体"/>
          <w:b w:val="0"/>
          <w:bCs w:val="0"/>
          <w:sz w:val="30"/>
          <w:szCs w:val="30"/>
          <w:highlight w:val="none"/>
        </w:rPr>
        <w:t xml:space="preserve">  中央对地方专项转移支付绿色制造系统集成项目绩效申报表</w:t>
      </w:r>
    </w:p>
    <w:tbl>
      <w:tblPr>
        <w:tblStyle w:val="7"/>
        <w:tblW w:w="9037" w:type="dxa"/>
        <w:jc w:val="center"/>
        <w:tblLayout w:type="fixed"/>
        <w:tblCellMar>
          <w:top w:w="0" w:type="dxa"/>
          <w:left w:w="108" w:type="dxa"/>
          <w:bottom w:w="0" w:type="dxa"/>
          <w:right w:w="108" w:type="dxa"/>
        </w:tblCellMar>
      </w:tblPr>
      <w:tblGrid>
        <w:gridCol w:w="669"/>
        <w:gridCol w:w="1001"/>
        <w:gridCol w:w="1499"/>
        <w:gridCol w:w="737"/>
        <w:gridCol w:w="716"/>
        <w:gridCol w:w="1867"/>
        <w:gridCol w:w="310"/>
        <w:gridCol w:w="2238"/>
      </w:tblGrid>
      <w:tr>
        <w:tblPrEx>
          <w:tblLayout w:type="fixed"/>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项目名称</w:t>
            </w:r>
          </w:p>
        </w:tc>
        <w:tc>
          <w:tcPr>
            <w:tcW w:w="7367" w:type="dxa"/>
            <w:gridSpan w:val="6"/>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r>
        <w:tblPrEx>
          <w:tblLayout w:type="fixed"/>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所属专项</w:t>
            </w:r>
          </w:p>
        </w:tc>
        <w:tc>
          <w:tcPr>
            <w:tcW w:w="7367" w:type="dxa"/>
            <w:gridSpan w:val="6"/>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工业转型升级资金</w:t>
            </w:r>
          </w:p>
        </w:tc>
      </w:tr>
      <w:tr>
        <w:tblPrEx>
          <w:tblLayout w:type="fixed"/>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中央主管部门</w:t>
            </w:r>
          </w:p>
        </w:tc>
        <w:tc>
          <w:tcPr>
            <w:tcW w:w="2952" w:type="dxa"/>
            <w:gridSpan w:val="3"/>
            <w:tcBorders>
              <w:top w:val="single" w:color="auto" w:sz="4" w:space="0"/>
              <w:left w:val="nil"/>
              <w:bottom w:val="single" w:color="auto" w:sz="4" w:space="0"/>
              <w:right w:val="nil"/>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财政部、工业和信息化部</w:t>
            </w:r>
          </w:p>
        </w:tc>
        <w:tc>
          <w:tcPr>
            <w:tcW w:w="1867"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省级财政部门</w:t>
            </w:r>
          </w:p>
        </w:tc>
        <w:tc>
          <w:tcPr>
            <w:tcW w:w="2548"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XX省（市）财政厅（局）</w:t>
            </w:r>
          </w:p>
        </w:tc>
      </w:tr>
      <w:tr>
        <w:tblPrEx>
          <w:tblLayout w:type="fixed"/>
          <w:tblCellMar>
            <w:top w:w="0" w:type="dxa"/>
            <w:left w:w="108" w:type="dxa"/>
            <w:bottom w:w="0" w:type="dxa"/>
            <w:right w:w="108" w:type="dxa"/>
          </w:tblCellMar>
        </w:tblPrEx>
        <w:trPr>
          <w:trHeight w:val="397" w:hRule="atLeast"/>
          <w:jc w:val="center"/>
        </w:trPr>
        <w:tc>
          <w:tcPr>
            <w:tcW w:w="1670"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省级工业和信息化主管部门</w:t>
            </w:r>
          </w:p>
        </w:tc>
        <w:tc>
          <w:tcPr>
            <w:tcW w:w="2952" w:type="dxa"/>
            <w:gridSpan w:val="3"/>
            <w:tcBorders>
              <w:top w:val="single" w:color="auto" w:sz="4" w:space="0"/>
              <w:left w:val="nil"/>
              <w:bottom w:val="single" w:color="auto" w:sz="4" w:space="0"/>
              <w:right w:val="nil"/>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1867"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具体实施单位</w:t>
            </w:r>
          </w:p>
        </w:tc>
        <w:tc>
          <w:tcPr>
            <w:tcW w:w="2548" w:type="dxa"/>
            <w:gridSpan w:val="2"/>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r>
        <w:tblPrEx>
          <w:tblLayout w:type="fixed"/>
          <w:tblCellMar>
            <w:top w:w="0" w:type="dxa"/>
            <w:left w:w="108" w:type="dxa"/>
            <w:bottom w:w="0" w:type="dxa"/>
            <w:right w:w="108" w:type="dxa"/>
          </w:tblCellMar>
        </w:tblPrEx>
        <w:trPr>
          <w:trHeight w:val="337" w:hRule="atLeast"/>
          <w:jc w:val="center"/>
        </w:trPr>
        <w:tc>
          <w:tcPr>
            <w:tcW w:w="1670" w:type="dxa"/>
            <w:gridSpan w:val="2"/>
            <w:vMerge w:val="restart"/>
            <w:tcBorders>
              <w:top w:val="single" w:color="auto" w:sz="4" w:space="0"/>
              <w:left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资金情况</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（万元）</w:t>
            </w: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项目总投资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Layout w:type="fixed"/>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w:t>
            </w:r>
          </w:p>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申请财政资金</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Layout w:type="fixed"/>
          <w:tblCellMar>
            <w:top w:w="0" w:type="dxa"/>
            <w:left w:w="108" w:type="dxa"/>
            <w:bottom w:w="0" w:type="dxa"/>
            <w:right w:w="108" w:type="dxa"/>
          </w:tblCellMar>
        </w:tblPrEx>
        <w:trPr>
          <w:trHeight w:val="332"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wordWrap w:val="0"/>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其他资金　　</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Layout w:type="fixed"/>
          <w:tblCellMar>
            <w:top w:w="0" w:type="dxa"/>
            <w:left w:w="108" w:type="dxa"/>
            <w:bottom w:w="0" w:type="dxa"/>
            <w:right w:w="108" w:type="dxa"/>
          </w:tblCellMar>
        </w:tblPrEx>
        <w:trPr>
          <w:trHeight w:val="332"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项目投资进度</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r>
      <w:tr>
        <w:tblPrEx>
          <w:tblLayout w:type="fixed"/>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w:t>
            </w:r>
          </w:p>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XX年度投资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Layout w:type="fixed"/>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XX年度投资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Layout w:type="fixed"/>
          <w:tblCellMar>
            <w:top w:w="0" w:type="dxa"/>
            <w:left w:w="108" w:type="dxa"/>
            <w:bottom w:w="0" w:type="dxa"/>
            <w:right w:w="108" w:type="dxa"/>
          </w:tblCellMar>
        </w:tblPrEx>
        <w:trPr>
          <w:trHeight w:val="397" w:hRule="atLeast"/>
          <w:jc w:val="center"/>
        </w:trPr>
        <w:tc>
          <w:tcPr>
            <w:tcW w:w="1670" w:type="dxa"/>
            <w:gridSpan w:val="2"/>
            <w:vMerge w:val="continue"/>
            <w:tcBorders>
              <w:left w:val="single" w:color="auto" w:sz="4" w:space="0"/>
              <w:bottom w:val="single" w:color="000000"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2236" w:type="dxa"/>
            <w:gridSpan w:val="2"/>
            <w:tcBorders>
              <w:top w:val="nil"/>
              <w:left w:val="nil"/>
              <w:bottom w:val="single" w:color="auto" w:sz="4" w:space="0"/>
              <w:right w:val="single" w:color="auto" w:sz="4" w:space="0"/>
            </w:tcBorders>
            <w:vAlign w:val="center"/>
          </w:tcPr>
          <w:p>
            <w:pPr>
              <w:widowControl/>
              <w:snapToGrid w:val="0"/>
              <w:jc w:val="righ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XX年度投资</w:t>
            </w:r>
          </w:p>
        </w:tc>
        <w:tc>
          <w:tcPr>
            <w:tcW w:w="5131"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XX万元</w:t>
            </w:r>
          </w:p>
        </w:tc>
      </w:tr>
      <w:tr>
        <w:tblPrEx>
          <w:tblLayout w:type="fixed"/>
          <w:tblCellMar>
            <w:top w:w="0" w:type="dxa"/>
            <w:left w:w="108" w:type="dxa"/>
            <w:bottom w:w="0" w:type="dxa"/>
            <w:right w:w="108" w:type="dxa"/>
          </w:tblCellMar>
        </w:tblPrEx>
        <w:trPr>
          <w:trHeight w:val="397" w:hRule="atLeast"/>
          <w:jc w:val="center"/>
        </w:trPr>
        <w:tc>
          <w:tcPr>
            <w:tcW w:w="669" w:type="dxa"/>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体</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目</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标</w:t>
            </w:r>
          </w:p>
        </w:tc>
        <w:tc>
          <w:tcPr>
            <w:tcW w:w="8368" w:type="dxa"/>
            <w:gridSpan w:val="7"/>
            <w:tcBorders>
              <w:top w:val="single" w:color="auto" w:sz="4" w:space="0"/>
              <w:left w:val="nil"/>
              <w:bottom w:val="single" w:color="auto" w:sz="4" w:space="0"/>
              <w:right w:val="single" w:color="auto" w:sz="4" w:space="0"/>
            </w:tcBorders>
            <w:vAlign w:val="top"/>
          </w:tcPr>
          <w:p>
            <w:pPr>
              <w:widowControl/>
              <w:snapToGrid w:val="0"/>
              <w:jc w:val="left"/>
              <w:rPr>
                <w:rFonts w:hint="eastAsia" w:ascii="仿宋_GB2312" w:hAnsi="仿宋_GB2312" w:eastAsia="仿宋_GB2312" w:cs="仿宋_GB2312"/>
                <w:kern w:val="0"/>
                <w:sz w:val="24"/>
                <w:szCs w:val="24"/>
                <w:highlight w:val="none"/>
              </w:rPr>
            </w:pPr>
          </w:p>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（填写项目总体目标、分年度目标）</w:t>
            </w:r>
          </w:p>
        </w:tc>
      </w:tr>
      <w:tr>
        <w:tblPrEx>
          <w:tblLayout w:type="fixed"/>
          <w:tblCellMar>
            <w:top w:w="0" w:type="dxa"/>
            <w:left w:w="108" w:type="dxa"/>
            <w:bottom w:w="0" w:type="dxa"/>
            <w:right w:w="108" w:type="dxa"/>
          </w:tblCellMar>
        </w:tblPrEx>
        <w:trPr>
          <w:trHeight w:val="397" w:hRule="atLeast"/>
          <w:jc w:val="center"/>
        </w:trPr>
        <w:tc>
          <w:tcPr>
            <w:tcW w:w="669" w:type="dxa"/>
            <w:vMerge w:val="restart"/>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绩</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效</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指</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标</w:t>
            </w:r>
          </w:p>
        </w:tc>
        <w:tc>
          <w:tcPr>
            <w:tcW w:w="1001" w:type="dxa"/>
            <w:tcBorders>
              <w:top w:val="nil"/>
              <w:left w:val="nil"/>
              <w:bottom w:val="nil"/>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指标</w:t>
            </w:r>
          </w:p>
        </w:tc>
        <w:tc>
          <w:tcPr>
            <w:tcW w:w="1499" w:type="dxa"/>
            <w:tcBorders>
              <w:top w:val="nil"/>
              <w:left w:val="nil"/>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2238" w:type="dxa"/>
            <w:tcBorders>
              <w:top w:val="nil"/>
              <w:left w:val="nil"/>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r>
      <w:tr>
        <w:tblPrEx>
          <w:tblLayout w:type="fixed"/>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出</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指</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标</w:t>
            </w:r>
          </w:p>
        </w:tc>
        <w:tc>
          <w:tcPr>
            <w:tcW w:w="1499" w:type="dxa"/>
            <w:vMerge w:val="restart"/>
            <w:tcBorders>
              <w:top w:val="nil"/>
              <w:left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数量指标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制造技术绿色化率</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提高XX个百分点或达到90%以上</w:t>
            </w:r>
          </w:p>
        </w:tc>
      </w:tr>
      <w:tr>
        <w:tblPrEx>
          <w:tblLayout w:type="fixed"/>
          <w:tblCellMar>
            <w:top w:w="0" w:type="dxa"/>
            <w:left w:w="108" w:type="dxa"/>
            <w:bottom w:w="0" w:type="dxa"/>
            <w:right w:w="108" w:type="dxa"/>
          </w:tblCellMar>
        </w:tblPrEx>
        <w:trPr>
          <w:trHeight w:val="4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1499" w:type="dxa"/>
            <w:vMerge w:val="continue"/>
            <w:tcBorders>
              <w:left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制造过程绿色化率</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提高XX个百分点</w:t>
            </w:r>
          </w:p>
        </w:tc>
      </w:tr>
      <w:tr>
        <w:tblPrEx>
          <w:tblLayout w:type="fixed"/>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continue"/>
            <w:tcBorders>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rPr>
              <w:t>形成绿色制造标准</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rPr>
              <w:t>XX项</w:t>
            </w:r>
          </w:p>
        </w:tc>
      </w:tr>
      <w:tr>
        <w:tblPrEx>
          <w:tblLayout w:type="fixed"/>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restart"/>
            <w:tcBorders>
              <w:top w:val="nil"/>
              <w:left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质量指标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技术先进性</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定性描述</w:t>
            </w:r>
          </w:p>
        </w:tc>
      </w:tr>
      <w:tr>
        <w:tblPrEx>
          <w:tblLayout w:type="fixed"/>
          <w:tblCellMar>
            <w:top w:w="0" w:type="dxa"/>
            <w:left w:w="108" w:type="dxa"/>
            <w:bottom w:w="0" w:type="dxa"/>
            <w:right w:w="108" w:type="dxa"/>
          </w:tblCellMar>
        </w:tblPrEx>
        <w:trPr>
          <w:trHeight w:val="292"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continue"/>
            <w:tcBorders>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绿色产品/绿色工厂/绿色供应链</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达到评价标准</w:t>
            </w:r>
          </w:p>
        </w:tc>
      </w:tr>
      <w:tr>
        <w:tblPrEx>
          <w:tblLayout w:type="fixed"/>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时效指标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项目实施期</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XX个月</w:t>
            </w:r>
          </w:p>
        </w:tc>
      </w:tr>
      <w:tr>
        <w:tblPrEx>
          <w:tblLayout w:type="fixed"/>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效</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益</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指</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标</w:t>
            </w:r>
          </w:p>
        </w:tc>
        <w:tc>
          <w:tcPr>
            <w:tcW w:w="1499" w:type="dxa"/>
            <w:vMerge w:val="restart"/>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社会效益</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绿色标准拟发挥的作用</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定性描述</w:t>
            </w:r>
          </w:p>
        </w:tc>
      </w:tr>
      <w:tr>
        <w:tblPrEx>
          <w:tblLayout w:type="fixed"/>
          <w:tblCellMar>
            <w:top w:w="0" w:type="dxa"/>
            <w:left w:w="108" w:type="dxa"/>
            <w:bottom w:w="0" w:type="dxa"/>
            <w:right w:w="108" w:type="dxa"/>
          </w:tblCellMar>
        </w:tblPrEx>
        <w:trPr>
          <w:trHeight w:val="292"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联合体模式拟发挥的作用</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定性描述</w:t>
            </w:r>
          </w:p>
        </w:tc>
      </w:tr>
      <w:tr>
        <w:tblPrEx>
          <w:tblLayout w:type="fixed"/>
          <w:tblCellMar>
            <w:top w:w="0" w:type="dxa"/>
            <w:left w:w="108" w:type="dxa"/>
            <w:bottom w:w="0" w:type="dxa"/>
            <w:right w:w="108" w:type="dxa"/>
          </w:tblCellMar>
        </w:tblPrEx>
        <w:trPr>
          <w:trHeight w:val="54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499"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生态效益</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绿色制造资源环境影响度</w:t>
            </w:r>
          </w:p>
        </w:tc>
        <w:tc>
          <w:tcPr>
            <w:tcW w:w="2238" w:type="dxa"/>
            <w:tcBorders>
              <w:top w:val="nil"/>
              <w:left w:val="nil"/>
              <w:bottom w:val="single" w:color="auto"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bidi="en-US"/>
              </w:rPr>
              <w:t>下降XX个百分点或低于90%</w:t>
            </w:r>
          </w:p>
        </w:tc>
      </w:tr>
      <w:tr>
        <w:tblPrEx>
          <w:tblLayout w:type="fixed"/>
          <w:tblCellMar>
            <w:top w:w="0" w:type="dxa"/>
            <w:left w:w="108" w:type="dxa"/>
            <w:bottom w:w="0" w:type="dxa"/>
            <w:right w:w="108" w:type="dxa"/>
          </w:tblCellMar>
        </w:tblPrEx>
        <w:trPr>
          <w:trHeight w:val="397" w:hRule="atLeast"/>
          <w:jc w:val="center"/>
        </w:trPr>
        <w:tc>
          <w:tcPr>
            <w:tcW w:w="669" w:type="dxa"/>
            <w:vMerge w:val="continue"/>
            <w:tcBorders>
              <w:top w:val="nil"/>
              <w:left w:val="single" w:color="auto" w:sz="4" w:space="0"/>
              <w:bottom w:val="single" w:color="000000" w:sz="4" w:space="0"/>
              <w:right w:val="single" w:color="auto" w:sz="4" w:space="0"/>
            </w:tcBorders>
            <w:vAlign w:val="center"/>
          </w:tcPr>
          <w:p>
            <w:pPr>
              <w:widowControl/>
              <w:snapToGrid w:val="0"/>
              <w:jc w:val="left"/>
              <w:rPr>
                <w:rFonts w:hint="eastAsia" w:ascii="仿宋_GB2312" w:hAnsi="仿宋_GB2312" w:eastAsia="仿宋_GB2312" w:cs="仿宋_GB2312"/>
                <w:kern w:val="0"/>
                <w:sz w:val="24"/>
                <w:szCs w:val="24"/>
                <w:highlight w:val="none"/>
              </w:rPr>
            </w:pPr>
          </w:p>
        </w:tc>
        <w:tc>
          <w:tcPr>
            <w:tcW w:w="1001"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满意度指标</w:t>
            </w:r>
          </w:p>
        </w:tc>
        <w:tc>
          <w:tcPr>
            <w:tcW w:w="1499" w:type="dxa"/>
            <w:tcBorders>
              <w:top w:val="nil"/>
              <w:left w:val="single" w:color="auto" w:sz="4" w:space="0"/>
              <w:bottom w:val="single" w:color="000000" w:sz="4" w:space="0"/>
              <w:right w:val="single" w:color="auto" w:sz="4" w:space="0"/>
            </w:tcBorders>
            <w:vAlign w:val="center"/>
          </w:tcPr>
          <w:p>
            <w:pPr>
              <w:widowControl/>
              <w:snapToGrid w:val="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服务对象</w:t>
            </w:r>
            <w:r>
              <w:rPr>
                <w:rFonts w:hint="eastAsia" w:ascii="仿宋_GB2312" w:hAnsi="仿宋_GB2312" w:eastAsia="仿宋_GB2312" w:cs="仿宋_GB2312"/>
                <w:kern w:val="0"/>
                <w:sz w:val="24"/>
                <w:szCs w:val="24"/>
                <w:highlight w:val="none"/>
              </w:rPr>
              <w:br/>
            </w:r>
            <w:r>
              <w:rPr>
                <w:rFonts w:hint="eastAsia" w:ascii="仿宋_GB2312" w:hAnsi="仿宋_GB2312" w:eastAsia="仿宋_GB2312" w:cs="仿宋_GB2312"/>
                <w:kern w:val="0"/>
                <w:sz w:val="24"/>
                <w:szCs w:val="24"/>
                <w:highlight w:val="none"/>
              </w:rPr>
              <w:t>满意度指标</w:t>
            </w:r>
          </w:p>
        </w:tc>
        <w:tc>
          <w:tcPr>
            <w:tcW w:w="3630" w:type="dxa"/>
            <w:gridSpan w:val="4"/>
            <w:tcBorders>
              <w:top w:val="single" w:color="auto" w:sz="4" w:space="0"/>
              <w:left w:val="nil"/>
              <w:bottom w:val="single" w:color="auto" w:sz="4" w:space="0"/>
              <w:right w:val="single" w:color="000000" w:sz="4" w:space="0"/>
            </w:tcBorders>
            <w:vAlign w:val="center"/>
          </w:tcPr>
          <w:p>
            <w:pPr>
              <w:widowControl/>
              <w:snapToGrid w:val="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行业内专家对项目的评价满意度</w:t>
            </w:r>
          </w:p>
        </w:tc>
        <w:tc>
          <w:tcPr>
            <w:tcW w:w="2238" w:type="dxa"/>
            <w:tcBorders>
              <w:top w:val="nil"/>
              <w:left w:val="nil"/>
              <w:bottom w:val="single" w:color="auto" w:sz="4" w:space="0"/>
              <w:right w:val="single" w:color="auto" w:sz="4" w:space="0"/>
            </w:tcBorders>
            <w:vAlign w:val="center"/>
          </w:tcPr>
          <w:p>
            <w:pPr>
              <w:widowControl/>
              <w:snapToGrid w:val="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大于等于90%</w:t>
            </w:r>
          </w:p>
        </w:tc>
      </w:tr>
    </w:tbl>
    <w:p>
      <w:pPr>
        <w:ind w:firstLine="605" w:firstLineChars="189"/>
        <w:jc w:val="right"/>
        <w:rPr>
          <w:rFonts w:eastAsia="仿宋_GB2312"/>
          <w:bCs/>
          <w:sz w:val="32"/>
          <w:szCs w:val="32"/>
          <w:highlight w:val="none"/>
        </w:rPr>
      </w:pPr>
    </w:p>
    <w:p>
      <w:pPr>
        <w:ind w:firstLine="605" w:firstLineChars="189"/>
        <w:rPr>
          <w:rFonts w:eastAsia="黑体"/>
          <w:bCs/>
          <w:sz w:val="32"/>
          <w:szCs w:val="32"/>
          <w:highlight w:val="none"/>
        </w:rPr>
        <w:sectPr>
          <w:pgSz w:w="11906" w:h="16838"/>
          <w:pgMar w:top="1134" w:right="1757" w:bottom="1134" w:left="1757" w:header="851" w:footer="992" w:gutter="0"/>
          <w:pgNumType w:fmt="decimal"/>
          <w:cols w:space="720" w:num="1"/>
          <w:rtlGutter w:val="0"/>
          <w:docGrid w:type="lines" w:linePitch="322" w:charSpace="0"/>
        </w:sectPr>
      </w:pPr>
    </w:p>
    <w:p>
      <w:pPr>
        <w:spacing w:line="40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附4</w:t>
      </w:r>
    </w:p>
    <w:p>
      <w:pPr>
        <w:pStyle w:val="3"/>
        <w:spacing w:before="156" w:beforeLines="0" w:after="156" w:afterLines="0" w:line="400" w:lineRule="exact"/>
        <w:jc w:val="center"/>
        <w:rPr>
          <w:rFonts w:eastAsia="黑体"/>
          <w:b w:val="0"/>
          <w:bCs w:val="0"/>
          <w:sz w:val="32"/>
          <w:szCs w:val="32"/>
          <w:highlight w:val="none"/>
        </w:rPr>
      </w:pPr>
      <w:r>
        <w:rPr>
          <w:rFonts w:eastAsia="黑体"/>
          <w:b w:val="0"/>
          <w:bCs w:val="0"/>
          <w:sz w:val="32"/>
          <w:szCs w:val="32"/>
          <w:highlight w:val="none"/>
        </w:rPr>
        <w:t>201</w:t>
      </w:r>
      <w:r>
        <w:rPr>
          <w:rFonts w:hint="eastAsia" w:eastAsia="黑体"/>
          <w:b w:val="0"/>
          <w:bCs w:val="0"/>
          <w:sz w:val="32"/>
          <w:szCs w:val="32"/>
          <w:highlight w:val="none"/>
        </w:rPr>
        <w:t>8</w:t>
      </w:r>
      <w:r>
        <w:rPr>
          <w:rFonts w:eastAsia="黑体"/>
          <w:b w:val="0"/>
          <w:bCs w:val="0"/>
          <w:sz w:val="32"/>
          <w:szCs w:val="32"/>
          <w:highlight w:val="none"/>
        </w:rPr>
        <w:t>年绿色制造系统集成项目汇总表</w:t>
      </w:r>
    </w:p>
    <w:p>
      <w:pP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推荐单位（省、直辖市、自治区及计划单列市、新疆生产建设兵团工业和信息化主管部门、财政厅局盖章）：</w:t>
      </w:r>
    </w:p>
    <w:tbl>
      <w:tblPr>
        <w:tblStyle w:val="7"/>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15"/>
        <w:gridCol w:w="1542"/>
        <w:gridCol w:w="1037"/>
        <w:gridCol w:w="1924"/>
        <w:gridCol w:w="1832"/>
        <w:gridCol w:w="1006"/>
        <w:gridCol w:w="895"/>
        <w:gridCol w:w="1545"/>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项目编号</w:t>
            </w:r>
          </w:p>
        </w:tc>
        <w:tc>
          <w:tcPr>
            <w:tcW w:w="141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项目名称</w:t>
            </w:r>
          </w:p>
        </w:tc>
        <w:tc>
          <w:tcPr>
            <w:tcW w:w="1542"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总体任务及</w:t>
            </w:r>
          </w:p>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主要建设内容</w:t>
            </w:r>
          </w:p>
        </w:tc>
        <w:tc>
          <w:tcPr>
            <w:tcW w:w="1037"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总投资</w:t>
            </w:r>
          </w:p>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（万元）</w:t>
            </w:r>
          </w:p>
        </w:tc>
        <w:tc>
          <w:tcPr>
            <w:tcW w:w="1924"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项目联合体牵头企业（央企请注明）</w:t>
            </w:r>
          </w:p>
        </w:tc>
        <w:tc>
          <w:tcPr>
            <w:tcW w:w="1832"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牵头单位是否国家新型工业化产业示范基地企业</w:t>
            </w:r>
          </w:p>
        </w:tc>
        <w:tc>
          <w:tcPr>
            <w:tcW w:w="1006"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联系人</w:t>
            </w:r>
          </w:p>
        </w:tc>
        <w:tc>
          <w:tcPr>
            <w:tcW w:w="89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职务</w:t>
            </w:r>
          </w:p>
        </w:tc>
        <w:tc>
          <w:tcPr>
            <w:tcW w:w="1545"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联系方式</w:t>
            </w:r>
          </w:p>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（固话/手机）</w:t>
            </w:r>
          </w:p>
        </w:tc>
        <w:tc>
          <w:tcPr>
            <w:tcW w:w="1537" w:type="dxa"/>
            <w:vAlign w:val="center"/>
          </w:tcPr>
          <w:p>
            <w:pPr>
              <w:snapToGrid w:val="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项目所在地（XX 省XX市）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1196" w:type="dxa"/>
            <w:gridSpan w:val="8"/>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绿色设计平台建设</w:t>
            </w:r>
          </w:p>
        </w:tc>
        <w:tc>
          <w:tcPr>
            <w:tcW w:w="1537" w:type="dxa"/>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1196" w:type="dxa"/>
            <w:gridSpan w:val="8"/>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绿色关键工艺突破</w:t>
            </w:r>
          </w:p>
        </w:tc>
        <w:tc>
          <w:tcPr>
            <w:tcW w:w="1537" w:type="dxa"/>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415" w:type="dxa"/>
            <w:vAlign w:val="center"/>
          </w:tcPr>
          <w:p>
            <w:pPr>
              <w:rPr>
                <w:rFonts w:hint="eastAsia" w:ascii="仿宋_GB2312" w:hAnsi="仿宋_GB2312" w:eastAsia="仿宋_GB2312" w:cs="仿宋_GB2312"/>
                <w:sz w:val="24"/>
                <w:szCs w:val="24"/>
                <w:highlight w:val="none"/>
              </w:rPr>
            </w:pPr>
          </w:p>
        </w:tc>
        <w:tc>
          <w:tcPr>
            <w:tcW w:w="1542" w:type="dxa"/>
            <w:vAlign w:val="center"/>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1196" w:type="dxa"/>
            <w:gridSpan w:val="8"/>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绿色供应链系统构建</w:t>
            </w:r>
          </w:p>
        </w:tc>
        <w:tc>
          <w:tcPr>
            <w:tcW w:w="1537" w:type="dxa"/>
            <w:vAlign w:val="center"/>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w:t>
            </w:r>
          </w:p>
        </w:tc>
        <w:tc>
          <w:tcPr>
            <w:tcW w:w="1415" w:type="dxa"/>
            <w:vAlign w:val="top"/>
          </w:tcPr>
          <w:p>
            <w:pPr>
              <w:rPr>
                <w:rFonts w:hint="eastAsia" w:ascii="仿宋_GB2312" w:hAnsi="仿宋_GB2312" w:eastAsia="仿宋_GB2312" w:cs="仿宋_GB2312"/>
                <w:sz w:val="24"/>
                <w:szCs w:val="24"/>
                <w:highlight w:val="none"/>
              </w:rPr>
            </w:pPr>
          </w:p>
        </w:tc>
        <w:tc>
          <w:tcPr>
            <w:tcW w:w="1542" w:type="dxa"/>
            <w:vAlign w:val="top"/>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p>
        </w:tc>
        <w:tc>
          <w:tcPr>
            <w:tcW w:w="1415" w:type="dxa"/>
            <w:vAlign w:val="top"/>
          </w:tcPr>
          <w:p>
            <w:pPr>
              <w:rPr>
                <w:rFonts w:hint="eastAsia" w:ascii="仿宋_GB2312" w:hAnsi="仿宋_GB2312" w:eastAsia="仿宋_GB2312" w:cs="仿宋_GB2312"/>
                <w:sz w:val="24"/>
                <w:szCs w:val="24"/>
                <w:highlight w:val="none"/>
              </w:rPr>
            </w:pPr>
          </w:p>
        </w:tc>
        <w:tc>
          <w:tcPr>
            <w:tcW w:w="1542" w:type="dxa"/>
            <w:vAlign w:val="top"/>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41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415" w:type="dxa"/>
            <w:vAlign w:val="top"/>
          </w:tcPr>
          <w:p>
            <w:pPr>
              <w:rPr>
                <w:rFonts w:hint="eastAsia" w:ascii="仿宋_GB2312" w:hAnsi="仿宋_GB2312" w:eastAsia="仿宋_GB2312" w:cs="仿宋_GB2312"/>
                <w:sz w:val="24"/>
                <w:szCs w:val="24"/>
                <w:highlight w:val="none"/>
              </w:rPr>
            </w:pPr>
          </w:p>
        </w:tc>
        <w:tc>
          <w:tcPr>
            <w:tcW w:w="1542" w:type="dxa"/>
            <w:vAlign w:val="top"/>
          </w:tcPr>
          <w:p>
            <w:pPr>
              <w:rPr>
                <w:rFonts w:hint="eastAsia" w:ascii="仿宋_GB2312" w:hAnsi="仿宋_GB2312" w:eastAsia="仿宋_GB2312" w:cs="仿宋_GB2312"/>
                <w:sz w:val="24"/>
                <w:szCs w:val="24"/>
                <w:highlight w:val="none"/>
              </w:rPr>
            </w:pPr>
          </w:p>
        </w:tc>
        <w:tc>
          <w:tcPr>
            <w:tcW w:w="1037" w:type="dxa"/>
            <w:vAlign w:val="top"/>
          </w:tcPr>
          <w:p>
            <w:pPr>
              <w:rPr>
                <w:rFonts w:hint="eastAsia" w:ascii="仿宋_GB2312" w:hAnsi="仿宋_GB2312" w:eastAsia="仿宋_GB2312" w:cs="仿宋_GB2312"/>
                <w:sz w:val="24"/>
                <w:szCs w:val="24"/>
                <w:highlight w:val="none"/>
              </w:rPr>
            </w:pPr>
          </w:p>
        </w:tc>
        <w:tc>
          <w:tcPr>
            <w:tcW w:w="1924" w:type="dxa"/>
            <w:vAlign w:val="top"/>
          </w:tcPr>
          <w:p>
            <w:pPr>
              <w:rPr>
                <w:rFonts w:hint="eastAsia" w:ascii="仿宋_GB2312" w:hAnsi="仿宋_GB2312" w:eastAsia="仿宋_GB2312" w:cs="仿宋_GB2312"/>
                <w:sz w:val="24"/>
                <w:szCs w:val="24"/>
                <w:highlight w:val="none"/>
              </w:rPr>
            </w:pPr>
          </w:p>
        </w:tc>
        <w:tc>
          <w:tcPr>
            <w:tcW w:w="1832" w:type="dxa"/>
            <w:vAlign w:val="top"/>
          </w:tcPr>
          <w:p>
            <w:pPr>
              <w:rPr>
                <w:rFonts w:hint="eastAsia" w:ascii="仿宋_GB2312" w:hAnsi="仿宋_GB2312" w:eastAsia="仿宋_GB2312" w:cs="仿宋_GB2312"/>
                <w:sz w:val="24"/>
                <w:szCs w:val="24"/>
                <w:highlight w:val="none"/>
              </w:rPr>
            </w:pPr>
          </w:p>
        </w:tc>
        <w:tc>
          <w:tcPr>
            <w:tcW w:w="1006" w:type="dxa"/>
            <w:vAlign w:val="top"/>
          </w:tcPr>
          <w:p>
            <w:pPr>
              <w:rPr>
                <w:rFonts w:hint="eastAsia" w:ascii="仿宋_GB2312" w:hAnsi="仿宋_GB2312" w:eastAsia="仿宋_GB2312" w:cs="仿宋_GB2312"/>
                <w:sz w:val="24"/>
                <w:szCs w:val="24"/>
                <w:highlight w:val="none"/>
              </w:rPr>
            </w:pPr>
          </w:p>
        </w:tc>
        <w:tc>
          <w:tcPr>
            <w:tcW w:w="895" w:type="dxa"/>
            <w:vAlign w:val="top"/>
          </w:tcPr>
          <w:p>
            <w:pPr>
              <w:rPr>
                <w:rFonts w:hint="eastAsia" w:ascii="仿宋_GB2312" w:hAnsi="仿宋_GB2312" w:eastAsia="仿宋_GB2312" w:cs="仿宋_GB2312"/>
                <w:sz w:val="24"/>
                <w:szCs w:val="24"/>
                <w:highlight w:val="none"/>
              </w:rPr>
            </w:pPr>
          </w:p>
        </w:tc>
        <w:tc>
          <w:tcPr>
            <w:tcW w:w="1545" w:type="dxa"/>
            <w:vAlign w:val="top"/>
          </w:tcPr>
          <w:p>
            <w:pPr>
              <w:rPr>
                <w:rFonts w:hint="eastAsia" w:ascii="仿宋_GB2312" w:hAnsi="仿宋_GB2312" w:eastAsia="仿宋_GB2312" w:cs="仿宋_GB2312"/>
                <w:sz w:val="24"/>
                <w:szCs w:val="24"/>
                <w:highlight w:val="none"/>
              </w:rPr>
            </w:pPr>
          </w:p>
        </w:tc>
        <w:tc>
          <w:tcPr>
            <w:tcW w:w="1537" w:type="dxa"/>
            <w:vAlign w:val="top"/>
          </w:tcPr>
          <w:p>
            <w:pPr>
              <w:rPr>
                <w:rFonts w:hint="eastAsia" w:ascii="仿宋_GB2312" w:hAnsi="仿宋_GB2312" w:eastAsia="仿宋_GB2312" w:cs="仿宋_GB2312"/>
                <w:sz w:val="24"/>
                <w:szCs w:val="24"/>
                <w:highlight w:val="none"/>
              </w:rPr>
            </w:pPr>
          </w:p>
        </w:tc>
      </w:tr>
    </w:tbl>
    <w:p>
      <w:pPr>
        <w:spacing w:line="320" w:lineRule="exact"/>
        <w:rPr>
          <w:rFonts w:eastAsia="仿宋_GB2312"/>
          <w:sz w:val="32"/>
          <w:szCs w:val="32"/>
          <w:highlight w:val="none"/>
        </w:rPr>
        <w:sectPr>
          <w:pgSz w:w="16838" w:h="11906" w:orient="landscape"/>
          <w:pgMar w:top="1757" w:right="1134" w:bottom="1757" w:left="1134" w:header="851" w:footer="992" w:gutter="0"/>
          <w:pgNumType w:fmt="decimal"/>
          <w:cols w:space="720" w:num="1"/>
          <w:rtlGutter w:val="0"/>
          <w:docGrid w:type="lines" w:linePitch="322" w:charSpace="0"/>
        </w:sectPr>
      </w:pPr>
      <w:r>
        <w:rPr>
          <w:rFonts w:eastAsia="仿宋_GB2312"/>
          <w:sz w:val="32"/>
          <w:szCs w:val="32"/>
          <w:highlight w:val="none"/>
        </w:rPr>
        <w:t xml:space="preserve"> </w:t>
      </w:r>
    </w:p>
    <w:p>
      <w:pPr>
        <w:spacing w:line="32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附5</w:t>
      </w:r>
    </w:p>
    <w:p>
      <w:pPr>
        <w:spacing w:beforeLines="0" w:afterLines="0" w:line="460" w:lineRule="exact"/>
        <w:ind w:firstLine="604" w:firstLineChars="189"/>
        <w:jc w:val="center"/>
        <w:rPr>
          <w:rFonts w:hint="eastAsia" w:eastAsia="黑体"/>
          <w:sz w:val="32"/>
          <w:szCs w:val="32"/>
          <w:highlight w:val="none"/>
        </w:rPr>
      </w:pPr>
      <w:r>
        <w:rPr>
          <w:rFonts w:hint="eastAsia" w:eastAsia="黑体"/>
          <w:sz w:val="32"/>
          <w:szCs w:val="32"/>
          <w:highlight w:val="none"/>
        </w:rPr>
        <w:t>项目支出绩效自评表</w:t>
      </w:r>
    </w:p>
    <w:p>
      <w:pPr>
        <w:adjustRightInd w:val="0"/>
        <w:snapToGrid w:val="0"/>
        <w:spacing w:before="156" w:beforeLines="50" w:after="156" w:afterLines="50" w:line="340" w:lineRule="exact"/>
        <w:jc w:val="center"/>
        <w:rPr>
          <w:szCs w:val="21"/>
          <w:highlight w:val="none"/>
        </w:rPr>
      </w:pPr>
      <w:r>
        <w:rPr>
          <w:b/>
          <w:bCs/>
          <w:color w:val="000000"/>
          <w:kern w:val="0"/>
          <w:szCs w:val="21"/>
          <w:highlight w:val="none"/>
        </w:rPr>
        <w:t>(XX年度)</w:t>
      </w:r>
    </w:p>
    <w:tbl>
      <w:tblPr>
        <w:tblStyle w:val="7"/>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25"/>
        <w:gridCol w:w="254"/>
        <w:gridCol w:w="880"/>
        <w:gridCol w:w="709"/>
        <w:gridCol w:w="425"/>
        <w:gridCol w:w="709"/>
        <w:gridCol w:w="851"/>
        <w:gridCol w:w="121"/>
        <w:gridCol w:w="871"/>
        <w:gridCol w:w="1246"/>
        <w:gridCol w:w="56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496"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项目名称</w:t>
            </w:r>
          </w:p>
        </w:tc>
        <w:tc>
          <w:tcPr>
            <w:tcW w:w="7422" w:type="dxa"/>
            <w:gridSpan w:val="10"/>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496"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主管部门及代码</w:t>
            </w:r>
          </w:p>
        </w:tc>
        <w:tc>
          <w:tcPr>
            <w:tcW w:w="2723" w:type="dxa"/>
            <w:gridSpan w:val="4"/>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实施单位</w:t>
            </w:r>
          </w:p>
        </w:tc>
        <w:tc>
          <w:tcPr>
            <w:tcW w:w="2856"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242"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项目资金                    （万元）</w:t>
            </w:r>
          </w:p>
        </w:tc>
        <w:tc>
          <w:tcPr>
            <w:tcW w:w="1843"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1134" w:type="dxa"/>
            <w:gridSpan w:val="2"/>
            <w:vAlign w:val="center"/>
          </w:tcPr>
          <w:p>
            <w:pPr>
              <w:widowControl/>
              <w:adjustRightInd w:val="0"/>
              <w:snapToGrid w:val="0"/>
              <w:spacing w:line="240" w:lineRule="atLeas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年初预算数（A）</w:t>
            </w: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全年执行数（B）</w:t>
            </w: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分值</w:t>
            </w:r>
          </w:p>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（10分）</w:t>
            </w: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执行率（B/A)</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w:t>
            </w: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242"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年度资金总额：</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执行率*该指标分值，最高不得超过分值上限。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242"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其中：本年一般公共预算拨款　</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242"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1843"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其他资金</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97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87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246"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242"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年度目标完成情况</w:t>
            </w:r>
          </w:p>
        </w:tc>
        <w:tc>
          <w:tcPr>
            <w:tcW w:w="2977" w:type="dxa"/>
            <w:gridSpan w:val="5"/>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年初设定目标</w:t>
            </w:r>
          </w:p>
        </w:tc>
        <w:tc>
          <w:tcPr>
            <w:tcW w:w="4699" w:type="dxa"/>
            <w:gridSpan w:val="6"/>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年度总体目标完成情况综述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restart"/>
            <w:textDirection w:val="tbRlV"/>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绩效指标</w:t>
            </w:r>
          </w:p>
        </w:tc>
        <w:tc>
          <w:tcPr>
            <w:tcW w:w="725"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一级指标</w:t>
            </w: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二级指标</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三级指标</w:t>
            </w:r>
          </w:p>
        </w:tc>
        <w:tc>
          <w:tcPr>
            <w:tcW w:w="425"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分值</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年度指标值(A)</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全年实际值(B)</w:t>
            </w:r>
          </w:p>
        </w:tc>
        <w:tc>
          <w:tcPr>
            <w:tcW w:w="2238" w:type="dxa"/>
            <w:gridSpan w:val="3"/>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得分计算方法</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得分</w:t>
            </w: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产出指标(50分)</w:t>
            </w: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数量指标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完成值达到指标值，记满分；未达到指标值，按B/A或A/B*该指标分值记分。</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质量指标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1.若为定性指标，则根据“三档”原则分别按照指标分值的100-80%(含80%)、80-50%(含50%)、50-0%来记分。</w:t>
            </w:r>
            <w:r>
              <w:rPr>
                <w:rFonts w:hint="eastAsia" w:ascii="仿宋_GB2312" w:hAnsi="仿宋_GB2312" w:eastAsia="仿宋_GB2312" w:cs="仿宋_GB2312"/>
                <w:color w:val="000000"/>
                <w:kern w:val="0"/>
                <w:sz w:val="15"/>
                <w:szCs w:val="15"/>
                <w:highlight w:val="none"/>
              </w:rPr>
              <w:br/>
            </w:r>
            <w:r>
              <w:rPr>
                <w:rFonts w:hint="eastAsia" w:ascii="仿宋_GB2312" w:hAnsi="仿宋_GB2312" w:eastAsia="仿宋_GB2312" w:cs="仿宋_GB2312"/>
                <w:color w:val="000000"/>
                <w:kern w:val="0"/>
                <w:sz w:val="15"/>
                <w:szCs w:val="15"/>
                <w:highlight w:val="none"/>
              </w:rPr>
              <w:t>2.若为定量指标，完成值达到指标值，记满分；未达到指标值，按B/A或A/B*该指标分值记分。</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时效指标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成本指标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　</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效益指标(30分)</w:t>
            </w: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经济效益</w:t>
            </w:r>
            <w:r>
              <w:rPr>
                <w:rFonts w:hint="eastAsia" w:ascii="仿宋_GB2312" w:hAnsi="仿宋_GB2312" w:eastAsia="仿宋_GB2312" w:cs="仿宋_GB2312"/>
                <w:kern w:val="0"/>
                <w:sz w:val="18"/>
                <w:szCs w:val="18"/>
                <w:highlight w:val="none"/>
              </w:rPr>
              <w:br/>
            </w:r>
            <w:r>
              <w:rPr>
                <w:rFonts w:hint="eastAsia" w:ascii="仿宋_GB2312" w:hAnsi="仿宋_GB2312" w:eastAsia="仿宋_GB2312" w:cs="仿宋_GB2312"/>
                <w:kern w:val="0"/>
                <w:sz w:val="18"/>
                <w:szCs w:val="18"/>
                <w:highlight w:val="none"/>
              </w:rPr>
              <w:t>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1.若为定性指标，则根据“三档”原则分别按照指标分值的100-80%(含80%)、80-50%(含50%)、50-0%来记分。</w:t>
            </w:r>
            <w:r>
              <w:rPr>
                <w:rFonts w:hint="eastAsia" w:ascii="仿宋_GB2312" w:hAnsi="仿宋_GB2312" w:eastAsia="仿宋_GB2312" w:cs="仿宋_GB2312"/>
                <w:color w:val="000000"/>
                <w:kern w:val="0"/>
                <w:sz w:val="15"/>
                <w:szCs w:val="15"/>
                <w:highlight w:val="none"/>
              </w:rPr>
              <w:br/>
            </w:r>
            <w:r>
              <w:rPr>
                <w:rFonts w:hint="eastAsia" w:ascii="仿宋_GB2312" w:hAnsi="仿宋_GB2312" w:eastAsia="仿宋_GB2312" w:cs="仿宋_GB2312"/>
                <w:color w:val="000000"/>
                <w:kern w:val="0"/>
                <w:sz w:val="15"/>
                <w:szCs w:val="15"/>
                <w:highlight w:val="none"/>
              </w:rPr>
              <w:t>2.若为定量指标，完成值达到指标值，记满分；未达到指标值，按B/A或A/B*该指标分值记分。</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社会效益</w:t>
            </w:r>
            <w:r>
              <w:rPr>
                <w:rFonts w:hint="eastAsia" w:ascii="仿宋_GB2312" w:hAnsi="仿宋_GB2312" w:eastAsia="仿宋_GB2312" w:cs="仿宋_GB2312"/>
                <w:kern w:val="0"/>
                <w:sz w:val="18"/>
                <w:szCs w:val="18"/>
                <w:highlight w:val="none"/>
              </w:rPr>
              <w:br/>
            </w:r>
            <w:r>
              <w:rPr>
                <w:rFonts w:hint="eastAsia" w:ascii="仿宋_GB2312" w:hAnsi="仿宋_GB2312" w:eastAsia="仿宋_GB2312" w:cs="仿宋_GB2312"/>
                <w:kern w:val="0"/>
                <w:sz w:val="18"/>
                <w:szCs w:val="18"/>
                <w:highlight w:val="none"/>
              </w:rPr>
              <w:t>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生态效益</w:t>
            </w:r>
            <w:r>
              <w:rPr>
                <w:rFonts w:hint="eastAsia" w:ascii="仿宋_GB2312" w:hAnsi="仿宋_GB2312" w:eastAsia="仿宋_GB2312" w:cs="仿宋_GB2312"/>
                <w:kern w:val="0"/>
                <w:sz w:val="18"/>
                <w:szCs w:val="18"/>
                <w:highlight w:val="none"/>
              </w:rPr>
              <w:br/>
            </w:r>
            <w:r>
              <w:rPr>
                <w:rFonts w:hint="eastAsia" w:ascii="仿宋_GB2312" w:hAnsi="仿宋_GB2312" w:eastAsia="仿宋_GB2312" w:cs="仿宋_GB2312"/>
                <w:kern w:val="0"/>
                <w:sz w:val="18"/>
                <w:szCs w:val="18"/>
                <w:highlight w:val="none"/>
              </w:rPr>
              <w:t>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709" w:type="dxa"/>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可持续影响指标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满意度指标（10分）</w:t>
            </w:r>
          </w:p>
        </w:tc>
        <w:tc>
          <w:tcPr>
            <w:tcW w:w="1134" w:type="dxa"/>
            <w:gridSpan w:val="2"/>
            <w:vMerge w:val="restart"/>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服务对象</w:t>
            </w:r>
            <w:r>
              <w:rPr>
                <w:rFonts w:hint="eastAsia" w:ascii="仿宋_GB2312" w:hAnsi="仿宋_GB2312" w:eastAsia="仿宋_GB2312" w:cs="仿宋_GB2312"/>
                <w:kern w:val="0"/>
                <w:sz w:val="18"/>
                <w:szCs w:val="18"/>
                <w:highlight w:val="none"/>
              </w:rPr>
              <w:br/>
            </w:r>
            <w:r>
              <w:rPr>
                <w:rFonts w:hint="eastAsia" w:ascii="仿宋_GB2312" w:hAnsi="仿宋_GB2312" w:eastAsia="仿宋_GB2312" w:cs="仿宋_GB2312"/>
                <w:kern w:val="0"/>
                <w:sz w:val="18"/>
                <w:szCs w:val="18"/>
                <w:highlight w:val="none"/>
              </w:rPr>
              <w:t>满意度指标</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restart"/>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同效益指标得分计算方式。</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17" w:type="dxa"/>
            <w:vMerge w:val="continue"/>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p>
        </w:tc>
        <w:tc>
          <w:tcPr>
            <w:tcW w:w="725" w:type="dxa"/>
            <w:vMerge w:val="continue"/>
            <w:vAlign w:val="center"/>
          </w:tcPr>
          <w:p>
            <w:pPr>
              <w:widowControl/>
              <w:adjustRightInd w:val="0"/>
              <w:snapToGrid w:val="0"/>
              <w:spacing w:line="240" w:lineRule="atLeast"/>
              <w:jc w:val="left"/>
              <w:rPr>
                <w:rFonts w:hint="eastAsia" w:ascii="仿宋_GB2312" w:hAnsi="仿宋_GB2312" w:eastAsia="仿宋_GB2312" w:cs="仿宋_GB2312"/>
                <w:kern w:val="0"/>
                <w:sz w:val="18"/>
                <w:szCs w:val="18"/>
                <w:highlight w:val="none"/>
              </w:rPr>
            </w:pPr>
          </w:p>
        </w:tc>
        <w:tc>
          <w:tcPr>
            <w:tcW w:w="1134" w:type="dxa"/>
            <w:gridSpan w:val="2"/>
            <w:vAlign w:val="center"/>
          </w:tcPr>
          <w:p>
            <w:pPr>
              <w:widowControl/>
              <w:adjustRightInd w:val="0"/>
              <w:snapToGrid w:val="0"/>
              <w:spacing w:line="240" w:lineRule="atLeast"/>
              <w:jc w:val="center"/>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rPr>
              <w:t>……</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5"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709"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851" w:type="dxa"/>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2238" w:type="dxa"/>
            <w:gridSpan w:val="3"/>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567"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c>
          <w:tcPr>
            <w:tcW w:w="1043" w:type="dxa"/>
            <w:vAlign w:val="center"/>
          </w:tcPr>
          <w:p>
            <w:pPr>
              <w:widowControl/>
              <w:adjustRightInd w:val="0"/>
              <w:snapToGrid w:val="0"/>
              <w:spacing w:line="240" w:lineRule="atLeast"/>
              <w:jc w:val="center"/>
              <w:rPr>
                <w:rFonts w:hint="eastAsia" w:ascii="仿宋_GB2312" w:hAnsi="仿宋_GB2312" w:eastAsia="仿宋_GB2312" w:cs="仿宋_GB2312"/>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308" w:type="dxa"/>
            <w:gridSpan w:val="11"/>
            <w:vAlign w:val="center"/>
          </w:tcPr>
          <w:p>
            <w:pPr>
              <w:widowControl/>
              <w:adjustRightInd w:val="0"/>
              <w:snapToGrid w:val="0"/>
              <w:spacing w:line="240" w:lineRule="atLeast"/>
              <w:jc w:val="center"/>
              <w:rPr>
                <w:rFonts w:hint="eastAsia" w:ascii="仿宋_GB2312" w:hAnsi="仿宋_GB2312" w:eastAsia="仿宋_GB2312" w:cs="仿宋_GB2312"/>
                <w:b/>
                <w:bCs/>
                <w:color w:val="000000"/>
                <w:kern w:val="0"/>
                <w:sz w:val="18"/>
                <w:szCs w:val="18"/>
                <w:highlight w:val="none"/>
              </w:rPr>
            </w:pPr>
            <w:r>
              <w:rPr>
                <w:rFonts w:hint="eastAsia" w:ascii="仿宋_GB2312" w:hAnsi="仿宋_GB2312" w:eastAsia="仿宋_GB2312" w:cs="仿宋_GB2312"/>
                <w:b/>
                <w:bCs/>
                <w:color w:val="000000"/>
                <w:kern w:val="0"/>
                <w:sz w:val="18"/>
                <w:szCs w:val="18"/>
                <w:highlight w:val="none"/>
              </w:rPr>
              <w:t>总分</w:t>
            </w:r>
          </w:p>
        </w:tc>
        <w:tc>
          <w:tcPr>
            <w:tcW w:w="1610" w:type="dxa"/>
            <w:gridSpan w:val="2"/>
            <w:vAlign w:val="center"/>
          </w:tcPr>
          <w:p>
            <w:pPr>
              <w:widowControl/>
              <w:adjustRightInd w:val="0"/>
              <w:snapToGrid w:val="0"/>
              <w:spacing w:line="240" w:lineRule="atLeast"/>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r>
    </w:tbl>
    <w:p>
      <w:pPr>
        <w:adjustRightInd w:val="0"/>
        <w:snapToGrid w:val="0"/>
        <w:spacing w:line="220" w:lineRule="atLeast"/>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b/>
          <w:bCs/>
          <w:color w:val="000000"/>
          <w:kern w:val="0"/>
          <w:sz w:val="15"/>
          <w:szCs w:val="15"/>
          <w:highlight w:val="none"/>
        </w:rPr>
        <w:t>注：</w:t>
      </w:r>
      <w:r>
        <w:rPr>
          <w:rFonts w:hint="eastAsia" w:ascii="仿宋_GB2312" w:hAnsi="仿宋_GB2312" w:eastAsia="仿宋_GB2312" w:cs="仿宋_GB2312"/>
          <w:color w:val="000000"/>
          <w:kern w:val="0"/>
          <w:sz w:val="15"/>
          <w:szCs w:val="15"/>
          <w:highlight w:val="none"/>
        </w:rPr>
        <w:t>1.得分一档最高不能超过该指标分值上限。</w:t>
      </w:r>
    </w:p>
    <w:p>
      <w:pPr>
        <w:adjustRightInd w:val="0"/>
        <w:snapToGrid w:val="0"/>
        <w:spacing w:line="220" w:lineRule="atLeast"/>
        <w:ind w:firstLine="300" w:firstLineChars="200"/>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2.定性指标根据指标完成情况分为：达成预期指标、部分达成预期指标并具有一定效果、未达成预期指标且效果较差三档，分别按照该指标对应分值区间100-80%(含80%)、80-50%(含50%)、50-0%合理确定分值。</w:t>
      </w:r>
    </w:p>
    <w:p>
      <w:pPr>
        <w:adjustRightInd w:val="0"/>
        <w:snapToGrid w:val="0"/>
        <w:spacing w:line="220" w:lineRule="atLeast"/>
        <w:ind w:firstLine="300" w:firstLineChars="200"/>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 xml:space="preserve">3.定量指标若为正向指标（即指标值为≥*），则得分计算方法应用全年实际值（B）/年度指标值（A）*该指标分值；若定量指标为反向指标（即指标值为≤*），则得分计算方法应用年度指标值（A）/全年实际值（B）*该指标分值。 </w:t>
      </w:r>
    </w:p>
    <w:p>
      <w:pPr>
        <w:adjustRightInd w:val="0"/>
        <w:snapToGrid w:val="0"/>
        <w:spacing w:line="220" w:lineRule="atLeast"/>
        <w:ind w:firstLine="300" w:firstLineChars="200"/>
        <w:rPr>
          <w:rFonts w:hint="eastAsia" w:ascii="仿宋_GB2312" w:hAnsi="仿宋_GB2312" w:eastAsia="仿宋_GB2312" w:cs="仿宋_GB2312"/>
          <w:color w:val="000000"/>
          <w:kern w:val="0"/>
          <w:sz w:val="15"/>
          <w:szCs w:val="15"/>
          <w:highlight w:val="none"/>
        </w:rPr>
      </w:pPr>
      <w:r>
        <w:rPr>
          <w:rFonts w:hint="eastAsia" w:ascii="仿宋_GB2312" w:hAnsi="仿宋_GB2312" w:eastAsia="仿宋_GB2312" w:cs="仿宋_GB2312"/>
          <w:color w:val="000000"/>
          <w:kern w:val="0"/>
          <w:sz w:val="15"/>
          <w:szCs w:val="15"/>
          <w:highlight w:val="none"/>
        </w:rPr>
        <w:t>4.请在“未完成原因分析”中说明偏离目标、不能完成目标的原因及拟采取的措施。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10002FF" w:usb1="4000ACFF" w:usb2="00000009"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宋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Times New Roman"/>
        <w:kern w:val="2"/>
        <w:sz w:val="18"/>
        <w:szCs w:val="22"/>
        <w:lang w:val="en-US" w:eastAsia="zh-CN"/>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2178604">
    <w:nsid w:val="57BFA9AC"/>
    <w:multiLevelType w:val="singleLevel"/>
    <w:tmpl w:val="57BFA9AC"/>
    <w:lvl w:ilvl="0" w:tentative="1">
      <w:start w:val="1"/>
      <w:numFmt w:val="decimal"/>
      <w:suff w:val="nothing"/>
      <w:lvlText w:val="%1."/>
      <w:lvlJc w:val="left"/>
    </w:lvl>
  </w:abstractNum>
  <w:num w:numId="1">
    <w:abstractNumId w:val="14721786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DFF2597B"/>
    <w:rsid w:val="17A24667"/>
    <w:rsid w:val="19DE0E2E"/>
    <w:rsid w:val="1FED9843"/>
    <w:rsid w:val="2FED219D"/>
    <w:rsid w:val="34826758"/>
    <w:rsid w:val="36F7AC85"/>
    <w:rsid w:val="3DDB3553"/>
    <w:rsid w:val="3E7E6CDA"/>
    <w:rsid w:val="3EA96E3C"/>
    <w:rsid w:val="3EFA3307"/>
    <w:rsid w:val="3F5F67D3"/>
    <w:rsid w:val="3FF74883"/>
    <w:rsid w:val="3FFBA28E"/>
    <w:rsid w:val="3FFD1BBC"/>
    <w:rsid w:val="4296681B"/>
    <w:rsid w:val="4DE12E7E"/>
    <w:rsid w:val="557BBFD6"/>
    <w:rsid w:val="563A092E"/>
    <w:rsid w:val="57111A11"/>
    <w:rsid w:val="57E5ADD3"/>
    <w:rsid w:val="57FF305D"/>
    <w:rsid w:val="5DE702D1"/>
    <w:rsid w:val="5FBF7C2E"/>
    <w:rsid w:val="5FF197B3"/>
    <w:rsid w:val="63F72834"/>
    <w:rsid w:val="66E5EAB4"/>
    <w:rsid w:val="6BEA75DF"/>
    <w:rsid w:val="6DFF8C66"/>
    <w:rsid w:val="6FAF83A2"/>
    <w:rsid w:val="6FB54EEC"/>
    <w:rsid w:val="6FBEEF2C"/>
    <w:rsid w:val="6FEE90A0"/>
    <w:rsid w:val="767F26EB"/>
    <w:rsid w:val="76FEDFF8"/>
    <w:rsid w:val="77AE9BBE"/>
    <w:rsid w:val="77DFDFC5"/>
    <w:rsid w:val="77FAE376"/>
    <w:rsid w:val="795F719B"/>
    <w:rsid w:val="79FF78B5"/>
    <w:rsid w:val="7DBF8E4B"/>
    <w:rsid w:val="7EEF6276"/>
    <w:rsid w:val="7F47B66B"/>
    <w:rsid w:val="7FD56956"/>
    <w:rsid w:val="7FDDE5DE"/>
    <w:rsid w:val="7FDEF554"/>
    <w:rsid w:val="7FF618EE"/>
    <w:rsid w:val="7FFBF228"/>
    <w:rsid w:val="7FFE64C4"/>
    <w:rsid w:val="7FFF4967"/>
    <w:rsid w:val="8DEE0A6A"/>
    <w:rsid w:val="8F7FF7E1"/>
    <w:rsid w:val="97EF94D8"/>
    <w:rsid w:val="97FFFC15"/>
    <w:rsid w:val="9FEDF281"/>
    <w:rsid w:val="ABFF2883"/>
    <w:rsid w:val="B6EF39B3"/>
    <w:rsid w:val="BDDD395C"/>
    <w:rsid w:val="BF57AFBB"/>
    <w:rsid w:val="D6F9CD9C"/>
    <w:rsid w:val="D7DF6B68"/>
    <w:rsid w:val="D7F4927E"/>
    <w:rsid w:val="DFF2597B"/>
    <w:rsid w:val="E2DEA915"/>
    <w:rsid w:val="E5F78633"/>
    <w:rsid w:val="E9FD227B"/>
    <w:rsid w:val="EBF77338"/>
    <w:rsid w:val="EE7FCAF6"/>
    <w:rsid w:val="EF9DDAAE"/>
    <w:rsid w:val="EFF22383"/>
    <w:rsid w:val="F1FCABEC"/>
    <w:rsid w:val="F6D64D70"/>
    <w:rsid w:val="F76E3E92"/>
    <w:rsid w:val="F99E5D5F"/>
    <w:rsid w:val="FAF593DA"/>
    <w:rsid w:val="FAFC8E99"/>
    <w:rsid w:val="FDFE9F2B"/>
    <w:rsid w:val="FDFFB9C7"/>
    <w:rsid w:val="FDFFF8F4"/>
    <w:rsid w:val="FEDFBEE8"/>
    <w:rsid w:val="FF3DFEAF"/>
    <w:rsid w:val="FF7739A5"/>
    <w:rsid w:val="FF7B4EEF"/>
    <w:rsid w:val="FF951220"/>
    <w:rsid w:val="FFADFEED"/>
    <w:rsid w:val="FFFD6488"/>
    <w:rsid w:val="FFFE43AA"/>
    <w:rsid w:val="FFFF76FB"/>
    <w:rsid w:val="FFFF9EE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Body Text"/>
    <w:basedOn w:val="1"/>
    <w:uiPriority w:val="0"/>
    <w:rPr>
      <w:sz w:val="3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2018-04-19T02:53:00Z</dcterms:created>
  <dc:creator>高鹏</dc:creator>
  <cp:lastModifiedBy>孔德智</cp:lastModifiedBy>
  <cp:lastPrinted>2018-05-10T01:55:41Z</cp:lastPrinted>
  <dcterms:modified xsi:type="dcterms:W3CDTF">2018-05-25T09:23:22Z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