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45C" w:rsidRDefault="0037745C" w:rsidP="0037745C">
      <w:pPr>
        <w:ind w:firstLine="0"/>
        <w:jc w:val="left"/>
        <w:rPr>
          <w:rFonts w:eastAsia="方正黑体_GBK"/>
        </w:rPr>
      </w:pPr>
      <w:r>
        <w:rPr>
          <w:rFonts w:ascii="方正黑体_GBK" w:eastAsia="方正黑体_GBK"/>
        </w:rPr>
        <w:t>附件</w:t>
      </w:r>
      <w:r>
        <w:rPr>
          <w:rFonts w:eastAsia="方正黑体_GBK"/>
        </w:rPr>
        <w:t>1</w:t>
      </w:r>
    </w:p>
    <w:p w:rsidR="0037745C" w:rsidRDefault="0037745C" w:rsidP="0037745C">
      <w:pPr>
        <w:adjustRightInd w:val="0"/>
        <w:spacing w:line="5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2018</w:t>
      </w:r>
      <w:r>
        <w:rPr>
          <w:rFonts w:ascii="方正小标宋_GBK" w:eastAsia="方正小标宋_GBK"/>
          <w:sz w:val="44"/>
          <w:szCs w:val="44"/>
        </w:rPr>
        <w:t>年度省科学技术奖专业组</w:t>
      </w:r>
    </w:p>
    <w:p w:rsidR="0037745C" w:rsidRDefault="0037745C" w:rsidP="0037745C">
      <w:pPr>
        <w:adjustRightInd w:val="0"/>
        <w:spacing w:line="400" w:lineRule="exact"/>
        <w:ind w:firstLine="0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 xml:space="preserve"> </w:t>
      </w:r>
    </w:p>
    <w:tbl>
      <w:tblPr>
        <w:tblW w:w="9477" w:type="dxa"/>
        <w:jc w:val="center"/>
        <w:tblLayout w:type="fixed"/>
        <w:tblLook w:val="04A0"/>
      </w:tblPr>
      <w:tblGrid>
        <w:gridCol w:w="1502"/>
        <w:gridCol w:w="1816"/>
        <w:gridCol w:w="6159"/>
      </w:tblGrid>
      <w:tr w:rsidR="0037745C" w:rsidTr="0037745C">
        <w:trPr>
          <w:trHeight w:val="692"/>
          <w:jc w:val="center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专业组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评审组名称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jc w:val="center"/>
              <w:rPr>
                <w:rFonts w:eastAsia="黑体"/>
                <w:sz w:val="30"/>
                <w:szCs w:val="30"/>
              </w:rPr>
            </w:pPr>
            <w:r>
              <w:rPr>
                <w:rFonts w:eastAsia="黑体"/>
                <w:sz w:val="30"/>
                <w:szCs w:val="30"/>
              </w:rPr>
              <w:t>评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t>审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t>范</w:t>
            </w:r>
            <w:r>
              <w:rPr>
                <w:rFonts w:eastAsia="黑体"/>
                <w:sz w:val="30"/>
                <w:szCs w:val="30"/>
              </w:rPr>
              <w:t xml:space="preserve">  </w:t>
            </w:r>
            <w:r>
              <w:rPr>
                <w:rFonts w:eastAsia="黑体"/>
                <w:sz w:val="30"/>
                <w:szCs w:val="30"/>
              </w:rPr>
              <w:t>围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一、电子信息及系统科学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网络与通信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无线通信，光通信，卫星及微波通信，信号与信息处理，信息与网络安全，三网融合及终端设备，短距离无线通信，多媒体移动终端，电信增值服务，有线及广播电视等。</w:t>
            </w:r>
          </w:p>
        </w:tc>
      </w:tr>
      <w:tr w:rsidR="0037745C" w:rsidTr="0037745C">
        <w:trPr>
          <w:trHeight w:val="2145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计算机与软件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基础及应用数学，计算科学及应用技术（云计算、并行计算、可信计算等），海量数据处理与挖掘技术，语言识别及中文信息处理，基础软件，应用软件，嵌入式软件及中间件，数字媒体（动漫、网游、创意设计），软件服务及外包等。</w:t>
            </w:r>
          </w:p>
        </w:tc>
      </w:tr>
      <w:tr w:rsidR="0037745C" w:rsidTr="0037745C">
        <w:trPr>
          <w:trHeight w:val="2075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微电子及元器件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微电子技术，光电子技术，半导体技术，集成电路设计、制造、封装、测试及关键配套材，新型传感器，传感网芯片，</w:t>
            </w:r>
            <w:r>
              <w:rPr>
                <w:sz w:val="30"/>
                <w:szCs w:val="30"/>
              </w:rPr>
              <w:t>RFID</w:t>
            </w:r>
            <w:r>
              <w:rPr>
                <w:rFonts w:ascii="方正仿宋_GBK"/>
                <w:sz w:val="30"/>
                <w:szCs w:val="30"/>
              </w:rPr>
              <w:t>，传感网节点产品，微纳器件，</w:t>
            </w:r>
            <w:r>
              <w:rPr>
                <w:sz w:val="30"/>
                <w:szCs w:val="30"/>
              </w:rPr>
              <w:t>MEMS</w:t>
            </w:r>
            <w:r>
              <w:rPr>
                <w:rFonts w:ascii="方正仿宋_GBK"/>
                <w:sz w:val="30"/>
                <w:szCs w:val="30"/>
              </w:rPr>
              <w:t>，光电子器件，半导体发光器件，片式元器件等。</w:t>
            </w:r>
          </w:p>
        </w:tc>
      </w:tr>
      <w:tr w:rsidR="0037745C" w:rsidTr="0037745C">
        <w:trPr>
          <w:trHeight w:val="1781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二、生物技术与医药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生物技术与生物工程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生物技术，基因工程，蛋白质，核酸，多肽，干细胞，疫苗，生物芯片，组织工程，工业生物技术，能源生物技术，生物环保技术，生物医学电子技术等。</w:t>
            </w:r>
          </w:p>
        </w:tc>
      </w:tr>
      <w:tr w:rsidR="0037745C" w:rsidTr="0037745C">
        <w:trPr>
          <w:trHeight w:val="1555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药学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中药学、现代中药，化学新药，制药工程技术，放射性药物，生物技术药，药剂学，药理学，药物分析与药品筛选，药物实验动物学，药物统计学等。</w:t>
            </w:r>
          </w:p>
        </w:tc>
      </w:tr>
      <w:tr w:rsidR="0037745C" w:rsidTr="0037745C">
        <w:trPr>
          <w:trHeight w:val="1246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医疗器械及材料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生物试剂，医用材料，人工器官，疾病诊断仪器，大型医疗装备，制药器械，制药工业专用设备等。</w:t>
            </w:r>
          </w:p>
        </w:tc>
      </w:tr>
      <w:tr w:rsidR="0037745C" w:rsidTr="0037745C">
        <w:trPr>
          <w:trHeight w:val="1867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三、能源与节能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新能源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太阳能技术及测试与装备，风能技术及控制系统，关键零部件，生物质能，新能源汽车及动力电池，核能、地热能、海洋能等新能源技术与装备等。</w:t>
            </w:r>
          </w:p>
        </w:tc>
      </w:tr>
      <w:tr w:rsidR="0037745C" w:rsidTr="0037745C">
        <w:trPr>
          <w:trHeight w:val="1977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高效节能与减排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能源动力系统节能减排技术，石油、天然气、化工系统节能减排技术，矿业、冶金、建材系统节能减排技术，轻工机械、印染纺织系统节能减排技术，半导体照明关键技术等。</w:t>
            </w:r>
          </w:p>
        </w:tc>
      </w:tr>
      <w:tr w:rsidR="0037745C" w:rsidTr="0037745C">
        <w:trPr>
          <w:trHeight w:val="1988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动力电气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智能电网技术，超导技术，发电与电站工程，输变电技术，高电压与绝缘，继电保护，电力系统自动化，电机与电器，动力，锅炉，热力系统等。</w:t>
            </w:r>
          </w:p>
        </w:tc>
      </w:tr>
      <w:tr w:rsidR="0037745C" w:rsidTr="0037745C">
        <w:trPr>
          <w:trHeight w:val="1083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四、材料与化学工程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无机材料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碳纤维等高性能纤维材料，陶瓷材料，玻璃材料，特种功能材料，无机非金属复合材料等。</w:t>
            </w:r>
          </w:p>
        </w:tc>
      </w:tr>
      <w:tr w:rsidR="0037745C" w:rsidTr="0037745C">
        <w:trPr>
          <w:trHeight w:val="1323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有机高分子材料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有机高分子材料，功能高分子材料，聚合物复合材料，高分子液晶材料，天然高分子产品加工等。</w:t>
            </w:r>
          </w:p>
        </w:tc>
      </w:tr>
      <w:tr w:rsidR="0037745C" w:rsidTr="0037745C">
        <w:trPr>
          <w:trHeight w:val="185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金属材料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钢铁冶金技术、原料与处理技术，钢铁加工与制造技术，有色金属冶金技术、加工与制造工艺技术等，金属复合材料，高性能合金材料，高性能稀土材料等。</w:t>
            </w:r>
          </w:p>
        </w:tc>
      </w:tr>
      <w:tr w:rsidR="0037745C" w:rsidTr="0037745C">
        <w:trPr>
          <w:trHeight w:val="1880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化学工程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化工工程技术及装置，石油炼制技术，有机化工，煤化工，合成树脂与塑料，化学纤维，橡胶技术，无机化工，精细化学品，生物化学，电化学等。</w:t>
            </w:r>
          </w:p>
        </w:tc>
      </w:tr>
      <w:tr w:rsidR="0037745C" w:rsidTr="0037745C">
        <w:trPr>
          <w:trHeight w:val="1853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五、先进制造与重大装备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装备制造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数控机床装备，工程机械装备，纺织机械装备，轨道交通装备，海洋工程装备，自动化制造装备，能源与动力装备，冶金装备，煤炭与矿山装备，电力设备装备，交通运输装备，流体传</w:t>
            </w:r>
            <w:r>
              <w:rPr>
                <w:sz w:val="30"/>
                <w:szCs w:val="30"/>
              </w:rPr>
              <w:lastRenderedPageBreak/>
              <w:t>动装备等。</w:t>
            </w:r>
          </w:p>
        </w:tc>
      </w:tr>
      <w:tr w:rsidR="0037745C" w:rsidTr="0037745C">
        <w:trPr>
          <w:trHeight w:val="1376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先进制造与自动控制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数字化与智能化制造技术，机器人与智能控制，工业自动化，先进控制与设备，绿色制造等。</w:t>
            </w:r>
          </w:p>
        </w:tc>
      </w:tr>
      <w:tr w:rsidR="0037745C" w:rsidTr="0037745C">
        <w:trPr>
          <w:trHeight w:val="1404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仪器仪表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仪器仪表技术，工业自动化仪表，电工仪器仪表，光学仪器，环境监测仪，热工与化工测量仪器仪表等。</w:t>
            </w:r>
          </w:p>
        </w:tc>
      </w:tr>
      <w:tr w:rsidR="0037745C" w:rsidTr="0037745C">
        <w:trPr>
          <w:trHeight w:val="1418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机械技术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机械设计，机械原理与零件，热加工工艺与设备，通用机械技术与设备，流体机械技术与设备，极端机械制造技术、精密模具等。</w:t>
            </w:r>
          </w:p>
        </w:tc>
      </w:tr>
      <w:tr w:rsidR="0037745C" w:rsidTr="0037745C">
        <w:trPr>
          <w:trHeight w:val="1026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六、资源与环境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环境科学与生态保护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环境学，气象学，环境生态保护与修复工程，生态环境监测与预报等。</w:t>
            </w:r>
            <w:r>
              <w:rPr>
                <w:sz w:val="30"/>
                <w:szCs w:val="30"/>
              </w:rPr>
              <w:t xml:space="preserve"> </w:t>
            </w:r>
          </w:p>
        </w:tc>
      </w:tr>
      <w:tr w:rsidR="0037745C" w:rsidTr="0037745C">
        <w:trPr>
          <w:trHeight w:val="1502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环保监测与技术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环境监测与预报，环境监测仪器及系统，水、固、气污染防治技术及设备，环保成套技术及装备等。</w:t>
            </w:r>
          </w:p>
        </w:tc>
      </w:tr>
      <w:tr w:rsidR="0037745C" w:rsidTr="0037745C">
        <w:trPr>
          <w:trHeight w:val="1978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资源开发利用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土地资源调查与利用，海洋资源调查与观测，矿产、油气资源勘探与开发开采工程，石油、天然气储存与运输工程，工程地质、矿产调查与评价，生态地理调查、评价与规划，地质灾害监测预报与防治，工程地震技术等。</w:t>
            </w:r>
          </w:p>
        </w:tc>
      </w:tr>
      <w:tr w:rsidR="0037745C" w:rsidTr="0037745C">
        <w:trPr>
          <w:trHeight w:val="1290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安全生产技术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凿岩爆破工程，井巷工程，矿山压力与支护，矿山生产安全，劳动安全技术，消防工程等。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七、建筑、水利与交通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土木建筑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土木建筑结构、规划，土木工程施工，市政工程，防灾减灾工程，岩土，路基、路面工程，桥涵工程，隧道工程等。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水利工程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水利工程勘测、施工，河流泥沙工程，海洋工</w:t>
            </w:r>
            <w:r>
              <w:rPr>
                <w:sz w:val="30"/>
                <w:szCs w:val="30"/>
              </w:rPr>
              <w:lastRenderedPageBreak/>
              <w:t>程，水资源利用与管理，水利工程管理，防洪抗旱减灾，陆地水文，大坝监测等。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交通运输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运输安全管理，城市道路运输工程，水路运输，港口设计技术，船舶工程，造船专用工艺，机场及航空运输，铁路、城轨车辆系统等。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八、农业与林业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农业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作物育种，农业生物工程，作物栽培，土壤与肥料，植物保护，农业设施与机械装备，食品加工及其副产品和利用，食品安全等。</w:t>
            </w:r>
          </w:p>
        </w:tc>
      </w:tr>
      <w:tr w:rsidR="0037745C" w:rsidTr="0037745C">
        <w:trPr>
          <w:trHeight w:val="678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林业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林木育种，经济林，园艺，蔬菜，果树等。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养殖业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动物育种与繁育，动物营养与饲料加工，兽医学，畜禽养殖等；水产品种选育与增殖、贮藏与加工，水产饲料与病害防治等。</w:t>
            </w:r>
          </w:p>
        </w:tc>
      </w:tr>
      <w:tr w:rsidR="0037745C" w:rsidTr="0037745C">
        <w:trPr>
          <w:trHeight w:val="719"/>
          <w:jc w:val="center"/>
        </w:trPr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九、医疗卫生</w:t>
            </w: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内科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心血管，呼吸，肾脏，胃肠，内分泌等，放射医学。</w:t>
            </w:r>
          </w:p>
        </w:tc>
      </w:tr>
      <w:tr w:rsidR="0037745C" w:rsidTr="0037745C">
        <w:trPr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外科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普通外科，神经外科，胸外科，骨科，泌尿外科，妇产科，耳鼻咽喉科，眼科，口腔科等。</w:t>
            </w:r>
          </w:p>
        </w:tc>
      </w:tr>
      <w:tr w:rsidR="0037745C" w:rsidTr="0037745C">
        <w:trPr>
          <w:trHeight w:val="971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基础与预防医学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流行病学，传染病预防，卫生检验学，放射卫生学，保健医学，康复医学，运动医学等。</w:t>
            </w:r>
          </w:p>
        </w:tc>
      </w:tr>
      <w:tr w:rsidR="0037745C" w:rsidTr="0037745C">
        <w:trPr>
          <w:trHeight w:val="850"/>
          <w:jc w:val="center"/>
        </w:trPr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widowControl/>
              <w:autoSpaceDE/>
              <w:autoSpaceDN/>
              <w:snapToGrid/>
              <w:spacing w:line="240" w:lineRule="auto"/>
              <w:ind w:firstLine="0"/>
              <w:jc w:val="left"/>
              <w:rPr>
                <w:sz w:val="30"/>
                <w:szCs w:val="3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45C" w:rsidRDefault="0037745C">
            <w:pPr>
              <w:adjustRightInd w:val="0"/>
              <w:spacing w:line="400" w:lineRule="exact"/>
              <w:ind w:firstLine="0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中医学、针灸学、中西医结合。</w:t>
            </w:r>
          </w:p>
        </w:tc>
      </w:tr>
    </w:tbl>
    <w:p w:rsidR="0037745C" w:rsidRDefault="0037745C" w:rsidP="0037745C">
      <w:pPr>
        <w:spacing w:line="590" w:lineRule="exact"/>
        <w:ind w:firstLine="0"/>
      </w:pPr>
      <w:r>
        <w:t xml:space="preserve"> </w:t>
      </w:r>
    </w:p>
    <w:p w:rsidR="004C11BC" w:rsidRPr="0037745C" w:rsidRDefault="004C11BC"/>
    <w:sectPr w:rsidR="004C11BC" w:rsidRPr="0037745C" w:rsidSect="004C1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23F7" w:rsidRDefault="00C523F7" w:rsidP="0037745C">
      <w:pPr>
        <w:spacing w:line="240" w:lineRule="auto"/>
      </w:pPr>
      <w:r>
        <w:separator/>
      </w:r>
    </w:p>
  </w:endnote>
  <w:endnote w:type="continuationSeparator" w:id="0">
    <w:p w:rsidR="00C523F7" w:rsidRDefault="00C523F7" w:rsidP="003774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23F7" w:rsidRDefault="00C523F7" w:rsidP="0037745C">
      <w:pPr>
        <w:spacing w:line="240" w:lineRule="auto"/>
      </w:pPr>
      <w:r>
        <w:separator/>
      </w:r>
    </w:p>
  </w:footnote>
  <w:footnote w:type="continuationSeparator" w:id="0">
    <w:p w:rsidR="00C523F7" w:rsidRDefault="00C523F7" w:rsidP="0037745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745C"/>
    <w:rsid w:val="000C048B"/>
    <w:rsid w:val="0037745C"/>
    <w:rsid w:val="004C11BC"/>
    <w:rsid w:val="00C523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45C"/>
    <w:pPr>
      <w:widowControl w:val="0"/>
      <w:autoSpaceDE w:val="0"/>
      <w:autoSpaceDN w:val="0"/>
      <w:snapToGrid w:val="0"/>
      <w:spacing w:line="590" w:lineRule="atLeast"/>
      <w:ind w:firstLine="624"/>
      <w:jc w:val="both"/>
    </w:pPr>
    <w:rPr>
      <w:rFonts w:ascii="Times New Roman" w:eastAsia="方正仿宋_GBK" w:hAnsi="Times New Roman" w:cs="Times New Roman"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745C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745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745C"/>
    <w:pPr>
      <w:tabs>
        <w:tab w:val="center" w:pos="4153"/>
        <w:tab w:val="right" w:pos="8306"/>
      </w:tabs>
      <w:autoSpaceDE/>
      <w:autoSpaceDN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745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9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2018-05-18T00:38:00Z</dcterms:created>
  <dcterms:modified xsi:type="dcterms:W3CDTF">2018-05-18T00:38:00Z</dcterms:modified>
</cp:coreProperties>
</file>