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苏州市产学研创新载体自评报告</w:t>
      </w:r>
    </w:p>
    <w:bookmarkEnd w:id="0"/>
    <w:p>
      <w:pPr>
        <w:spacing w:line="300" w:lineRule="auto"/>
        <w:jc w:val="center"/>
        <w:rPr>
          <w:rFonts w:eastAsia="方正楷体_GBK"/>
          <w:sz w:val="30"/>
          <w:szCs w:val="30"/>
        </w:rPr>
      </w:pPr>
      <w:r>
        <w:rPr>
          <w:rFonts w:hint="eastAsia" w:eastAsia="方正楷体_GBK"/>
          <w:sz w:val="30"/>
          <w:szCs w:val="30"/>
        </w:rPr>
        <w:t>（基准时间：</w:t>
      </w:r>
      <w:r>
        <w:rPr>
          <w:rFonts w:eastAsia="方正楷体_GBK"/>
          <w:sz w:val="30"/>
          <w:szCs w:val="30"/>
        </w:rPr>
        <w:t>2014—2016</w:t>
      </w:r>
      <w:r>
        <w:rPr>
          <w:rFonts w:hint="eastAsia" w:eastAsia="方正楷体_GBK"/>
          <w:sz w:val="30"/>
          <w:szCs w:val="30"/>
        </w:rPr>
        <w:t>年）</w:t>
      </w:r>
    </w:p>
    <w:p>
      <w:pPr>
        <w:spacing w:line="300" w:lineRule="auto"/>
        <w:rPr>
          <w:sz w:val="28"/>
        </w:rPr>
      </w:pPr>
    </w:p>
    <w:p>
      <w:pPr>
        <w:spacing w:line="300" w:lineRule="auto"/>
        <w:rPr>
          <w:sz w:val="28"/>
        </w:rPr>
      </w:pPr>
    </w:p>
    <w:p>
      <w:pPr>
        <w:tabs>
          <w:tab w:val="left" w:pos="4500"/>
        </w:tabs>
        <w:spacing w:line="360" w:lineRule="auto"/>
      </w:pPr>
    </w:p>
    <w:p>
      <w:pPr>
        <w:adjustRightInd w:val="0"/>
        <w:spacing w:line="480" w:lineRule="auto"/>
        <w:ind w:left="409" w:leftChars="195" w:firstLine="298" w:firstLineChars="99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单位名称（公章）：</w:t>
      </w:r>
      <w:r>
        <w:rPr>
          <w:b/>
          <w:bCs/>
          <w:sz w:val="30"/>
          <w:u w:val="single"/>
        </w:rPr>
        <w:t xml:space="preserve">                                     </w:t>
      </w:r>
    </w:p>
    <w:p>
      <w:pPr>
        <w:adjustRightInd w:val="0"/>
        <w:spacing w:line="480" w:lineRule="auto"/>
        <w:ind w:firstLine="623" w:firstLineChars="207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负</w:t>
      </w:r>
      <w:r>
        <w:rPr>
          <w:b/>
          <w:bCs/>
          <w:sz w:val="30"/>
        </w:rPr>
        <w:t xml:space="preserve">     </w:t>
      </w:r>
      <w:r>
        <w:rPr>
          <w:rFonts w:hint="eastAsia"/>
          <w:b/>
          <w:bCs/>
          <w:sz w:val="30"/>
        </w:rPr>
        <w:t>责</w:t>
      </w:r>
      <w:r>
        <w:rPr>
          <w:b/>
          <w:bCs/>
          <w:sz w:val="30"/>
        </w:rPr>
        <w:t xml:space="preserve">     </w:t>
      </w:r>
      <w:r>
        <w:rPr>
          <w:rFonts w:hint="eastAsia"/>
          <w:b/>
          <w:bCs/>
          <w:sz w:val="30"/>
        </w:rPr>
        <w:t>人：</w:t>
      </w:r>
      <w:r>
        <w:rPr>
          <w:b/>
          <w:bCs/>
          <w:sz w:val="30"/>
          <w:u w:val="single"/>
        </w:rPr>
        <w:t xml:space="preserve">                                              </w:t>
      </w:r>
    </w:p>
    <w:p>
      <w:pPr>
        <w:adjustRightInd w:val="0"/>
        <w:spacing w:line="480" w:lineRule="auto"/>
        <w:ind w:firstLine="594" w:firstLineChars="148"/>
        <w:rPr>
          <w:b/>
          <w:bCs/>
          <w:spacing w:val="50"/>
          <w:sz w:val="30"/>
          <w:u w:val="single"/>
        </w:rPr>
      </w:pPr>
      <w:r>
        <w:rPr>
          <w:rFonts w:hint="eastAsia"/>
          <w:b/>
          <w:bCs/>
          <w:spacing w:val="50"/>
          <w:sz w:val="30"/>
        </w:rPr>
        <w:t>依托单位名称：</w:t>
      </w:r>
      <w:r>
        <w:rPr>
          <w:b/>
          <w:bCs/>
          <w:spacing w:val="50"/>
          <w:sz w:val="30"/>
          <w:u w:val="single"/>
        </w:rPr>
        <w:t xml:space="preserve">                                   </w:t>
      </w:r>
    </w:p>
    <w:p>
      <w:pPr>
        <w:adjustRightInd w:val="0"/>
        <w:spacing w:line="480" w:lineRule="auto"/>
        <w:ind w:firstLine="595" w:firstLineChars="99"/>
        <w:rPr>
          <w:b/>
          <w:bCs/>
          <w:spacing w:val="150"/>
          <w:sz w:val="30"/>
          <w:u w:val="single"/>
        </w:rPr>
      </w:pPr>
      <w:r>
        <w:rPr>
          <w:rFonts w:hint="eastAsia"/>
          <w:b/>
          <w:bCs/>
          <w:spacing w:val="150"/>
          <w:sz w:val="30"/>
        </w:rPr>
        <w:t>主管单位：</w:t>
      </w:r>
      <w:r>
        <w:rPr>
          <w:b/>
          <w:bCs/>
          <w:spacing w:val="150"/>
          <w:sz w:val="30"/>
          <w:u w:val="single"/>
        </w:rPr>
        <w:t xml:space="preserve">                                             </w:t>
      </w:r>
    </w:p>
    <w:p>
      <w:pPr>
        <w:adjustRightInd w:val="0"/>
        <w:spacing w:line="480" w:lineRule="auto"/>
        <w:rPr>
          <w:b/>
          <w:bCs/>
          <w:sz w:val="30"/>
          <w:u w:val="single"/>
        </w:rPr>
      </w:pPr>
    </w:p>
    <w:p>
      <w:pPr>
        <w:adjustRightInd w:val="0"/>
        <w:spacing w:line="480" w:lineRule="auto"/>
        <w:jc w:val="center"/>
        <w:rPr>
          <w:b/>
          <w:bCs/>
          <w:sz w:val="30"/>
        </w:rPr>
      </w:pPr>
    </w:p>
    <w:p>
      <w:pPr>
        <w:adjustRightInd w:val="0"/>
        <w:spacing w:line="480" w:lineRule="auto"/>
        <w:jc w:val="center"/>
        <w:rPr>
          <w:b/>
          <w:bCs/>
          <w:u w:val="single"/>
        </w:rPr>
      </w:pPr>
      <w:r>
        <w:rPr>
          <w:rFonts w:hint="eastAsia"/>
          <w:b/>
          <w:bCs/>
          <w:sz w:val="30"/>
        </w:rPr>
        <w:t>时间：</w:t>
      </w:r>
      <w:r>
        <w:rPr>
          <w:b/>
          <w:bCs/>
          <w:sz w:val="30"/>
          <w:u w:val="single"/>
        </w:rPr>
        <w:t xml:space="preserve">   2017     </w:t>
      </w:r>
      <w:r>
        <w:rPr>
          <w:rFonts w:hint="eastAsia"/>
          <w:b/>
          <w:bCs/>
          <w:sz w:val="30"/>
        </w:rPr>
        <w:t>年</w:t>
      </w:r>
      <w:r>
        <w:rPr>
          <w:b/>
          <w:bCs/>
          <w:sz w:val="30"/>
          <w:u w:val="single"/>
        </w:rPr>
        <w:t xml:space="preserve">       </w:t>
      </w:r>
      <w:r>
        <w:rPr>
          <w:rFonts w:hint="eastAsia"/>
          <w:b/>
          <w:bCs/>
          <w:sz w:val="30"/>
        </w:rPr>
        <w:t>月</w:t>
      </w:r>
      <w:r>
        <w:rPr>
          <w:b/>
          <w:bCs/>
          <w:sz w:val="30"/>
          <w:u w:val="single"/>
        </w:rPr>
        <w:t xml:space="preserve">       </w:t>
      </w:r>
      <w:r>
        <w:rPr>
          <w:rFonts w:hint="eastAsia"/>
          <w:b/>
          <w:bCs/>
          <w:sz w:val="30"/>
        </w:rPr>
        <w:t>日</w:t>
      </w: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</w:p>
    <w:p>
      <w:pPr>
        <w:ind w:left="315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承</w:t>
      </w:r>
      <w:r>
        <w:rPr>
          <w:rFonts w:eastAsia="黑体"/>
          <w:sz w:val="48"/>
          <w:szCs w:val="48"/>
        </w:rPr>
        <w:t xml:space="preserve">    </w:t>
      </w:r>
      <w:r>
        <w:rPr>
          <w:rFonts w:hint="eastAsia" w:eastAsia="黑体"/>
          <w:sz w:val="48"/>
          <w:szCs w:val="48"/>
        </w:rPr>
        <w:t>诺</w:t>
      </w:r>
      <w:r>
        <w:rPr>
          <w:rFonts w:eastAsia="黑体"/>
          <w:sz w:val="48"/>
          <w:szCs w:val="48"/>
        </w:rPr>
        <w:t xml:space="preserve">    </w:t>
      </w:r>
      <w:r>
        <w:rPr>
          <w:rFonts w:hint="eastAsia" w:eastAsia="黑体"/>
          <w:sz w:val="48"/>
          <w:szCs w:val="48"/>
        </w:rPr>
        <w:t>书</w:t>
      </w:r>
    </w:p>
    <w:p>
      <w:pPr>
        <w:ind w:left="315"/>
        <w:jc w:val="center"/>
        <w:rPr>
          <w:rFonts w:eastAsia="黑体"/>
          <w:sz w:val="28"/>
        </w:rPr>
      </w:pPr>
    </w:p>
    <w:p>
      <w:pPr>
        <w:ind w:left="315"/>
        <w:jc w:val="center"/>
        <w:rPr>
          <w:rFonts w:eastAsia="黑体"/>
          <w:sz w:val="28"/>
        </w:rPr>
      </w:pPr>
    </w:p>
    <w:p>
      <w:pPr>
        <w:ind w:left="315" w:leftChars="150"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本报告中所涉数据和情况描述准确无误，本人承诺对所填数据和情况描述的真实性负责。</w:t>
      </w:r>
    </w:p>
    <w:p>
      <w:pPr>
        <w:ind w:left="315"/>
      </w:pPr>
    </w:p>
    <w:p>
      <w:pPr>
        <w:ind w:left="315"/>
      </w:pPr>
    </w:p>
    <w:p>
      <w:pPr>
        <w:ind w:left="315"/>
      </w:pPr>
    </w:p>
    <w:p>
      <w:pPr>
        <w:ind w:left="315"/>
      </w:pPr>
    </w:p>
    <w:p>
      <w:pPr>
        <w:ind w:left="315"/>
        <w:rPr>
          <w:sz w:val="24"/>
        </w:rPr>
      </w:pPr>
    </w:p>
    <w:p>
      <w:pPr>
        <w:ind w:left="315"/>
        <w:rPr>
          <w:sz w:val="24"/>
        </w:rPr>
      </w:pPr>
    </w:p>
    <w:p>
      <w:pPr>
        <w:ind w:left="315"/>
        <w:rPr>
          <w:sz w:val="24"/>
        </w:rPr>
      </w:pPr>
    </w:p>
    <w:p>
      <w:pPr>
        <w:ind w:left="315"/>
        <w:rPr>
          <w:sz w:val="24"/>
        </w:rPr>
      </w:pPr>
    </w:p>
    <w:p>
      <w:pPr>
        <w:ind w:left="315"/>
        <w:rPr>
          <w:sz w:val="24"/>
        </w:rPr>
      </w:pPr>
    </w:p>
    <w:p>
      <w:pPr>
        <w:ind w:left="315"/>
        <w:rPr>
          <w:sz w:val="24"/>
        </w:rPr>
      </w:pPr>
    </w:p>
    <w:p>
      <w:pPr>
        <w:ind w:left="315" w:leftChars="150" w:right="600" w:firstLine="4800" w:firstLineChars="1600"/>
        <w:rPr>
          <w:sz w:val="30"/>
          <w:szCs w:val="30"/>
        </w:rPr>
      </w:pPr>
      <w:r>
        <w:rPr>
          <w:rFonts w:hint="eastAsia"/>
          <w:sz w:val="30"/>
          <w:szCs w:val="30"/>
        </w:rPr>
        <w:t>负责人（签字）：</w:t>
      </w:r>
    </w:p>
    <w:p>
      <w:pPr>
        <w:ind w:left="315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</w:p>
    <w:p>
      <w:pPr>
        <w:ind w:left="315" w:leftChars="150" w:right="600" w:firstLine="4950" w:firstLineChars="1650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期：</w:t>
      </w: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sz w:val="30"/>
          <w:szCs w:val="30"/>
        </w:rPr>
      </w:pPr>
    </w:p>
    <w:p>
      <w:pPr>
        <w:ind w:left="315"/>
        <w:rPr>
          <w:rFonts w:ascii="仿宋" w:hAnsi="仿宋" w:eastAsia="仿宋"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snapToGrid w:val="0"/>
          <w:kern w:val="0"/>
        </w:rPr>
      </w:pPr>
      <w:r>
        <w:rPr>
          <w:rFonts w:hint="eastAsia" w:ascii="仿宋" w:hAnsi="仿宋" w:eastAsia="仿宋"/>
          <w:b/>
          <w:snapToGrid w:val="0"/>
          <w:kern w:val="0"/>
        </w:rPr>
        <w:t>一、载体的基本情况（1000字以内）</w:t>
      </w:r>
    </w:p>
    <w:p>
      <w:pPr>
        <w:pStyle w:val="2"/>
        <w:adjustRightInd w:val="0"/>
        <w:snapToGrid w:val="0"/>
        <w:spacing w:line="360" w:lineRule="auto"/>
        <w:ind w:firstLineChars="200"/>
        <w:rPr>
          <w:rFonts w:hint="eastAsia" w:ascii="仿宋" w:hAnsi="仿宋" w:eastAsia="仿宋"/>
          <w:snapToGrid w:val="0"/>
          <w:kern w:val="0"/>
        </w:rPr>
      </w:pPr>
      <w:r>
        <w:rPr>
          <w:rFonts w:hint="eastAsia" w:ascii="仿宋" w:hAnsi="仿宋" w:eastAsia="仿宋"/>
          <w:snapToGrid w:val="0"/>
          <w:kern w:val="0"/>
        </w:rPr>
        <w:t>载体基本情况包括：成立背景、成立时间、政府支持情况、建设进展等。</w:t>
      </w: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snapToGrid w:val="0"/>
          <w:kern w:val="0"/>
        </w:rPr>
      </w:pPr>
      <w:r>
        <w:rPr>
          <w:rFonts w:hint="eastAsia" w:ascii="仿宋" w:hAnsi="仿宋" w:eastAsia="仿宋"/>
          <w:b/>
          <w:snapToGrid w:val="0"/>
          <w:kern w:val="0"/>
        </w:rPr>
        <w:t>二、服务能力与条件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1.实体化建设。需包括载体以何种形式运行，财务核算方式，办公场所、科研设施及网站等基础设施建设情况；是否有职能清晰、部门健全的工作架构设置。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2.人才团队建设。载体负责人主要工作经历和工作业绩；人才团队规模、结构及拥有专业资质情况，骨干运营人才引进情况等。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规范管理。运行管理规范，制定有各项规章制度（财务、人事、管理章程、服务流程、考核办法等），建有文档、档案、工作台账等并严格执行；财务管理，建设及运行资金到位情况（需包括各级政府拨款、依托单位投入、自筹经费等），是否专款专用，独立建账；激励政策，是否制定激励依托单位科技人员到载体服务地方的政策。</w:t>
      </w: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snapToGrid w:val="0"/>
          <w:kern w:val="0"/>
        </w:rPr>
      </w:pPr>
      <w:r>
        <w:rPr>
          <w:rFonts w:hint="eastAsia" w:ascii="仿宋" w:hAnsi="仿宋" w:eastAsia="仿宋"/>
          <w:b/>
          <w:snapToGrid w:val="0"/>
          <w:kern w:val="0"/>
        </w:rPr>
        <w:t>三、业务建设与成效</w:t>
      </w:r>
    </w:p>
    <w:p>
      <w:pPr>
        <w:adjustRightInd w:val="0"/>
        <w:snapToGrid w:val="0"/>
        <w:spacing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1.运营模式。需包括载体的运行模式、主要收入来源等。  </w:t>
      </w:r>
    </w:p>
    <w:p>
      <w:pPr>
        <w:adjustRightInd w:val="0"/>
        <w:snapToGrid w:val="0"/>
        <w:spacing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2.业务范围。载体功能定位，列举开展的各项常规业务。</w:t>
      </w:r>
    </w:p>
    <w:p>
      <w:pPr>
        <w:adjustRightInd w:val="0"/>
        <w:snapToGrid w:val="0"/>
        <w:spacing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3.特色业务。载体发挥自身优势开展的特色业务或模式。</w:t>
      </w:r>
    </w:p>
    <w:p>
      <w:pPr>
        <w:adjustRightInd w:val="0"/>
        <w:snapToGrid w:val="0"/>
        <w:spacing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服务成效。经济效益，载体通过开展各项服务获得了稳定的收入来源（附2014年、2015年、2016年财务报表，与企业签订的5万元以上的合同复印件）；社会效益，载体推动企业创新、区域创新、地方经济社会发展等的情况。</w:t>
      </w:r>
    </w:p>
    <w:p>
      <w:pPr>
        <w:adjustRightInd w:val="0"/>
        <w:snapToGrid w:val="0"/>
        <w:spacing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服务业绩。开展的工作及取得的成绩，以数据量化描述，可包括但不限于以下内容：服务企业数、组织活动情况、科技金融、获得纵横向课题情况、论文发表、专利挖掘及运营、引进人才、培养人才、孵化企业、建设服务平台、引进国内外创新载体或联盟等。</w:t>
      </w: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snapToGrid w:val="0"/>
          <w:kern w:val="0"/>
        </w:rPr>
      </w:pPr>
      <w:r>
        <w:rPr>
          <w:rFonts w:hint="eastAsia" w:ascii="仿宋" w:hAnsi="仿宋" w:eastAsia="仿宋"/>
          <w:b/>
          <w:snapToGrid w:val="0"/>
          <w:kern w:val="0"/>
        </w:rPr>
        <w:t>四、社会影响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1.所获表彰及荣誉。列举名称及颁发单位。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2.社会认可度。具有一定的品牌效应和社会认可度，列举所做工作受媒体报道情况。</w:t>
      </w:r>
    </w:p>
    <w:p>
      <w:pPr>
        <w:pStyle w:val="2"/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/>
          <w:b/>
          <w:snapToGrid w:val="0"/>
          <w:kern w:val="0"/>
        </w:rPr>
      </w:pPr>
      <w:r>
        <w:rPr>
          <w:rFonts w:hint="eastAsia" w:ascii="仿宋" w:hAnsi="仿宋" w:eastAsia="仿宋"/>
          <w:b/>
          <w:snapToGrid w:val="0"/>
          <w:kern w:val="0"/>
        </w:rPr>
        <w:t>五、典型案例</w:t>
      </w:r>
    </w:p>
    <w:p>
      <w:pPr>
        <w:adjustRightInd w:val="0"/>
        <w:snapToGrid w:val="0"/>
        <w:spacing w:line="360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能代表载体工作状态及模式，显现服务地方成效的典型案例2个（每个案例在1000字左右）。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46E1A"/>
    <w:rsid w:val="4AC4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2017-11-27T02:03:00Z</dcterms:created>
  <dc:creator>lh</dc:creator>
  <cp:lastModifiedBy>lh</cp:lastModifiedBy>
  <dcterms:modified xsi:type="dcterms:W3CDTF">2017-11-27T02:03:50Z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