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重点支持昆山市科技人才企业中科技含量高、产业带动性强、市场前景广、经济效益好、资金需求量相对较大的企业。进一步拓宽科技人才企业融资渠道，支持科技项目产业化，促进科技成果转化以及高新技术产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申报企业应信誉良好，具有组织实施项目的研发能力、创新管理人才团队和一定的经济规模，属于处于快速成长期的科技、人才企业。科技人才企业包括：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1.经省级部门认定的高新技术企业，经苏州市认定的“瞪羚计划”企业、“雏鹰计划”企业，以及其他经市科技局认定的建有研发机构的科技型中小企业等重点支持企业。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2.国家千人计划人才、省双创人才、姑苏人才以及昆山双创等人才所创办的企业。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企业有原始创新、集成创新、引进消化再创新等可持续的技术创新活动。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w:t>
      </w:r>
      <w:r>
        <w:rPr>
          <w:rFonts w:hint="eastAsia" w:ascii="宋体" w:hAnsi="宋体" w:eastAsia="宋体" w:cs="宋体"/>
          <w:b w:val="0"/>
          <w:i w:val="0"/>
          <w:caps w:val="0"/>
          <w:color w:val="0D0D0D" w:themeColor="text1" w:themeTint="F2"/>
          <w:spacing w:val="0"/>
          <w:sz w:val="32"/>
          <w:szCs w:val="32"/>
          <w:shd w:val="clear" w:fill="FFFFFF"/>
          <w14:textFill>
            <w14:solidFill>
              <w14:schemeClr w14:val="tx1">
                <w14:lumMod w14:val="95000"/>
                <w14:lumOff w14:val="5000"/>
              </w14:schemeClr>
            </w14:solidFill>
          </w14:textFill>
        </w:rPr>
        <w:t>科</w:t>
      </w: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技人才企业通过昆山市科技金融服务平台（http://222.92.84.189:8080/）提出贷款申请，市科技局从中推荐需求企业名单，银行选择企业对其进行尽职调查；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2.相关银行可提出申请，经审核通过后，方可成为新增合作银行；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3.为进一步分散信贷风险，鼓励第三方贷款担保、保证保险机构介入；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4.银行完成授信出具授信审批单（授信批单），确认放款后，报市科技局、财政局、人才办备案。企业贷款出现逾期，银行清算后按《昆山市科技人才企业贷款风险补偿资金实施细则》认定风险补偿责任；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5.本项目常年申报。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bookmarkStart w:id="0" w:name="_GoBack"/>
      <w:bookmarkEnd w:id="0"/>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企业按照《昆山市科技人才企业贷款风险补偿资金项目申报书》和贷款银行的要求准备相应的材料，并提供《昆山市科技计划项目责任主体信用承诺书》。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F64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